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469" w:rsidRPr="003625D9" w:rsidRDefault="00FE6469" w:rsidP="00C712BC">
      <w:pPr>
        <w:rPr>
          <w:rFonts w:asciiTheme="majorHAnsi" w:hAnsiTheme="majorHAnsi"/>
          <w:color w:val="231F20"/>
        </w:rPr>
      </w:pPr>
    </w:p>
    <w:p w:rsidR="00155ED1" w:rsidRPr="00155ED1" w:rsidRDefault="00755DB6" w:rsidP="007941CE">
      <w:pPr>
        <w:autoSpaceDE w:val="0"/>
        <w:autoSpaceDN w:val="0"/>
        <w:adjustRightInd w:val="0"/>
        <w:spacing w:line="480" w:lineRule="auto"/>
        <w:rPr>
          <w:rFonts w:asciiTheme="majorHAnsi" w:hAnsiTheme="majorHAnsi"/>
          <w:i/>
        </w:rPr>
      </w:pPr>
      <w:r w:rsidRPr="003625D9">
        <w:rPr>
          <w:rFonts w:asciiTheme="majorHAnsi" w:hAnsiTheme="majorHAnsi"/>
        </w:rPr>
        <w:tab/>
      </w:r>
      <w:r w:rsidR="00155ED1" w:rsidRPr="00155ED1">
        <w:rPr>
          <w:rFonts w:asciiTheme="majorHAnsi" w:hAnsiTheme="majorHAnsi"/>
          <w:i/>
        </w:rPr>
        <w:t>“If you want to truly understand something, try to change it.”-Kurt Lewin</w:t>
      </w:r>
    </w:p>
    <w:p w:rsidR="002E747D" w:rsidRDefault="002E747D" w:rsidP="00826C90">
      <w:pPr>
        <w:spacing w:line="480" w:lineRule="auto"/>
        <w:ind w:firstLine="708"/>
        <w:rPr>
          <w:rFonts w:asciiTheme="majorHAnsi" w:hAnsiTheme="majorHAnsi"/>
          <w:color w:val="231F20"/>
        </w:rPr>
      </w:pPr>
    </w:p>
    <w:p w:rsidR="00C81D95" w:rsidRPr="003625D9" w:rsidRDefault="00826C90" w:rsidP="00826C90">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4384" behindDoc="1" locked="0" layoutInCell="1" allowOverlap="1">
            <wp:simplePos x="0" y="0"/>
            <wp:positionH relativeFrom="column">
              <wp:posOffset>19050</wp:posOffset>
            </wp:positionH>
            <wp:positionV relativeFrom="paragraph">
              <wp:posOffset>2498725</wp:posOffset>
            </wp:positionV>
            <wp:extent cx="3971925" cy="2314575"/>
            <wp:effectExtent l="38100" t="57150" r="123825" b="104775"/>
            <wp:wrapTight wrapText="bothSides">
              <wp:wrapPolygon edited="0">
                <wp:start x="-207" y="-533"/>
                <wp:lineTo x="-207" y="22578"/>
                <wp:lineTo x="22066" y="22578"/>
                <wp:lineTo x="22170" y="22578"/>
                <wp:lineTo x="22273" y="22400"/>
                <wp:lineTo x="22273" y="-178"/>
                <wp:lineTo x="22066" y="-533"/>
                <wp:lineTo x="-207" y="-53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971925" cy="23145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C81D95" w:rsidRPr="003625D9">
        <w:rPr>
          <w:rFonts w:asciiTheme="majorHAnsi" w:hAnsiTheme="majorHAnsi"/>
          <w:color w:val="231F20"/>
        </w:rPr>
        <w:t xml:space="preserve">Once my whole school faculty has learned of my expectations on effective teaming, then theory will translate to practice by requiring each member to join </w:t>
      </w:r>
      <w:r w:rsidR="00B8568F">
        <w:rPr>
          <w:rFonts w:asciiTheme="majorHAnsi" w:hAnsiTheme="majorHAnsi"/>
          <w:color w:val="231F20"/>
        </w:rPr>
        <w:t xml:space="preserve">at least </w:t>
      </w:r>
      <w:r w:rsidR="00C81D95" w:rsidRPr="003625D9">
        <w:rPr>
          <w:rFonts w:asciiTheme="majorHAnsi" w:hAnsiTheme="majorHAnsi"/>
          <w:color w:val="231F20"/>
        </w:rPr>
        <w:t xml:space="preserve">one of several teams. I will introduce the team name and its purpose in order to aid prospective members to join with enthusiasm. One of those teams will be </w:t>
      </w:r>
      <w:r w:rsidR="00FA3FAC" w:rsidRPr="003625D9">
        <w:rPr>
          <w:rFonts w:asciiTheme="majorHAnsi" w:hAnsiTheme="majorHAnsi"/>
          <w:color w:val="231F20"/>
        </w:rPr>
        <w:t>the</w:t>
      </w:r>
      <w:r w:rsidR="00C81D95" w:rsidRPr="003625D9">
        <w:rPr>
          <w:rFonts w:asciiTheme="majorHAnsi" w:hAnsiTheme="majorHAnsi"/>
          <w:color w:val="231F20"/>
        </w:rPr>
        <w:t xml:space="preserve"> math intervention team (MIT). In order to maximize the potential of this MIT, as with all of the teams, anyone is free to join the team of his/her choice with the understanding that our expectations require genuine commitment and active participation. </w:t>
      </w:r>
    </w:p>
    <w:p w:rsidR="00B8568F" w:rsidRDefault="001F1468" w:rsidP="001F1468">
      <w:pPr>
        <w:spacing w:line="480" w:lineRule="auto"/>
        <w:ind w:firstLine="706"/>
        <w:rPr>
          <w:rFonts w:asciiTheme="majorHAnsi" w:hAnsiTheme="majorHAnsi"/>
          <w:color w:val="231F20"/>
        </w:rPr>
      </w:pPr>
      <w:r w:rsidRPr="003625D9">
        <w:rPr>
          <w:rFonts w:asciiTheme="majorHAnsi" w:hAnsiTheme="majorHAnsi"/>
          <w:color w:val="231F20"/>
        </w:rPr>
        <w:t xml:space="preserve">Currently our schools have been provided a nationally acclaimed intervention program, selected by district headquarters’ personnel entitled “Ramp-up to Algebra 1”. </w:t>
      </w:r>
      <w:r w:rsidR="00FA3FAC" w:rsidRPr="003625D9">
        <w:rPr>
          <w:rFonts w:asciiTheme="majorHAnsi" w:hAnsiTheme="majorHAnsi"/>
          <w:color w:val="231F20"/>
        </w:rPr>
        <w:t xml:space="preserve">According to the publisher, America’s Choice, </w:t>
      </w:r>
      <w:r w:rsidR="00F741E4" w:rsidRPr="003625D9">
        <w:rPr>
          <w:rFonts w:asciiTheme="majorHAnsi" w:hAnsiTheme="majorHAnsi"/>
          <w:color w:val="231F20"/>
        </w:rPr>
        <w:t>it is “</w:t>
      </w:r>
      <w:r w:rsidR="00F741E4" w:rsidRPr="003625D9">
        <w:rPr>
          <w:rFonts w:asciiTheme="majorHAnsi" w:hAnsiTheme="majorHAnsi"/>
        </w:rPr>
        <w:t>California’s Algebra Readiness Solution”</w:t>
      </w:r>
      <w:sdt>
        <w:sdtPr>
          <w:rPr>
            <w:rFonts w:asciiTheme="majorHAnsi" w:hAnsiTheme="majorHAnsi"/>
          </w:rPr>
          <w:id w:val="44111286"/>
          <w:citation/>
        </w:sdtPr>
        <w:sdtContent>
          <w:r w:rsidR="0001147F" w:rsidRPr="003625D9">
            <w:rPr>
              <w:rFonts w:asciiTheme="majorHAnsi" w:hAnsiTheme="majorHAnsi"/>
            </w:rPr>
            <w:fldChar w:fldCharType="begin"/>
          </w:r>
          <w:r w:rsidR="00F741E4" w:rsidRPr="003625D9">
            <w:rPr>
              <w:rFonts w:asciiTheme="majorHAnsi" w:hAnsiTheme="majorHAnsi"/>
            </w:rPr>
            <w:instrText xml:space="preserve"> CITATION Ame09 \l 1033 </w:instrText>
          </w:r>
          <w:r w:rsidR="0001147F"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(America's Choice, 2009)</w:t>
          </w:r>
          <w:r w:rsidR="0001147F" w:rsidRPr="003625D9">
            <w:rPr>
              <w:rFonts w:asciiTheme="majorHAnsi" w:hAnsiTheme="majorHAnsi"/>
            </w:rPr>
            <w:fldChar w:fldCharType="end"/>
          </w:r>
        </w:sdtContent>
      </w:sdt>
      <w:r w:rsidR="00F741E4" w:rsidRPr="003625D9">
        <w:rPr>
          <w:rFonts w:asciiTheme="majorHAnsi" w:hAnsiTheme="majorHAnsi"/>
        </w:rPr>
        <w:t xml:space="preserve">. </w:t>
      </w:r>
      <w:r w:rsidR="008D650C">
        <w:rPr>
          <w:rFonts w:asciiTheme="majorHAnsi" w:hAnsiTheme="majorHAnsi"/>
          <w:color w:val="231F20"/>
        </w:rPr>
        <w:t>The pacing guide published by Providence Schools demands strict observation. Math teachers have expressed their inability to stay on schedule</w:t>
      </w:r>
      <w:r w:rsidR="00086B81">
        <w:rPr>
          <w:rFonts w:asciiTheme="majorHAnsi" w:hAnsiTheme="majorHAnsi"/>
          <w:color w:val="231F20"/>
        </w:rPr>
        <w:t xml:space="preserve"> with the pacing guide and thus have fallen behind.</w:t>
      </w:r>
      <w:r w:rsidR="008D650C">
        <w:rPr>
          <w:rFonts w:asciiTheme="majorHAnsi" w:hAnsiTheme="majorHAnsi"/>
          <w:color w:val="231F20"/>
        </w:rPr>
        <w:t xml:space="preserve"> </w:t>
      </w:r>
      <w:r w:rsidRPr="003625D9">
        <w:rPr>
          <w:rFonts w:asciiTheme="majorHAnsi" w:hAnsiTheme="majorHAnsi"/>
          <w:color w:val="231F20"/>
        </w:rPr>
        <w:t xml:space="preserve">There exist some </w:t>
      </w:r>
      <w:r w:rsidR="00086B81">
        <w:rPr>
          <w:rFonts w:asciiTheme="majorHAnsi" w:hAnsiTheme="majorHAnsi"/>
          <w:color w:val="231F20"/>
        </w:rPr>
        <w:t xml:space="preserve">other </w:t>
      </w:r>
      <w:r w:rsidRPr="003625D9">
        <w:rPr>
          <w:rFonts w:asciiTheme="majorHAnsi" w:hAnsiTheme="majorHAnsi"/>
          <w:color w:val="231F20"/>
        </w:rPr>
        <w:t>perceived limitations to this program: the absence of a diagnostic tool, inappropriate student placement, excessive material for one year (eight units combined to equal the size and weight of our biology textbooks), and the absence of some technology as part of the curriculum.</w:t>
      </w:r>
      <w:r w:rsidR="00826C90" w:rsidRPr="00826C90">
        <w:rPr>
          <w:rFonts w:asciiTheme="majorHAnsi" w:hAnsiTheme="majorHAnsi"/>
          <w:color w:val="231F20"/>
        </w:rPr>
        <w:t xml:space="preserve"> </w:t>
      </w:r>
    </w:p>
    <w:p w:rsidR="00307FBC" w:rsidRDefault="00930B7D" w:rsidP="00307FBC">
      <w:pPr>
        <w:pStyle w:val="Heading2"/>
        <w:rPr>
          <w:lang w:eastAsia="es-ES_tradnl"/>
        </w:rPr>
      </w:pPr>
      <w:r>
        <w:rPr>
          <w:noProof/>
          <w:lang w:val="es-ES_tradnl" w:eastAsia="es-ES_tradnl"/>
        </w:rPr>
        <w:lastRenderedPageBreak/>
        <w:drawing>
          <wp:anchor distT="0" distB="0" distL="114300" distR="114300" simplePos="0" relativeHeight="251662336" behindDoc="1" locked="0" layoutInCell="1" allowOverlap="1">
            <wp:simplePos x="0" y="0"/>
            <wp:positionH relativeFrom="column">
              <wp:posOffset>3468370</wp:posOffset>
            </wp:positionH>
            <wp:positionV relativeFrom="paragraph">
              <wp:posOffset>-76200</wp:posOffset>
            </wp:positionV>
            <wp:extent cx="2390140" cy="1543050"/>
            <wp:effectExtent l="190500" t="152400" r="162560" b="114300"/>
            <wp:wrapTight wrapText="bothSides">
              <wp:wrapPolygon edited="0">
                <wp:start x="0" y="-2133"/>
                <wp:lineTo x="-1033" y="-1333"/>
                <wp:lineTo x="-1722" y="267"/>
                <wp:lineTo x="-1722" y="20533"/>
                <wp:lineTo x="-861" y="23200"/>
                <wp:lineTo x="-344" y="23200"/>
                <wp:lineTo x="21692" y="23200"/>
                <wp:lineTo x="22036" y="23200"/>
                <wp:lineTo x="23069" y="20267"/>
                <wp:lineTo x="22897" y="19200"/>
                <wp:lineTo x="22897" y="2133"/>
                <wp:lineTo x="23069" y="800"/>
                <wp:lineTo x="22036" y="-1867"/>
                <wp:lineTo x="21175" y="-2133"/>
                <wp:lineTo x="0" y="-21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390140" cy="1543050"/>
                    </a:xfrm>
                    <a:prstGeom prst="rect">
                      <a:avLst/>
                    </a:prstGeom>
                    <a:ln>
                      <a:noFill/>
                    </a:ln>
                    <a:effectLst>
                      <a:outerShdw blurRad="190500" algn="tl" rotWithShape="0">
                        <a:srgbClr val="000000">
                          <a:alpha val="70000"/>
                        </a:srgbClr>
                      </a:outerShdw>
                    </a:effectLst>
                  </pic:spPr>
                </pic:pic>
              </a:graphicData>
            </a:graphic>
          </wp:anchor>
        </w:drawing>
      </w:r>
      <w:r w:rsidR="00307FBC" w:rsidRPr="00E875C1">
        <w:rPr>
          <w:lang w:eastAsia="es-ES_tradnl"/>
        </w:rPr>
        <w:t>SPECIFIC PROBLEM SETS</w:t>
      </w:r>
    </w:p>
    <w:p w:rsidR="003D7BE8" w:rsidRPr="003D7BE8" w:rsidRDefault="003D7BE8" w:rsidP="003D7BE8">
      <w:pPr>
        <w:rPr>
          <w:lang w:eastAsia="es-ES_tradnl"/>
        </w:rPr>
      </w:pPr>
    </w:p>
    <w:p w:rsidR="00A064B3" w:rsidRDefault="002B34A2" w:rsidP="001F1468">
      <w:pPr>
        <w:spacing w:line="480" w:lineRule="auto"/>
        <w:ind w:firstLine="706"/>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58240" behindDoc="1" locked="0" layoutInCell="1" allowOverlap="1">
            <wp:simplePos x="0" y="0"/>
            <wp:positionH relativeFrom="column">
              <wp:posOffset>3752850</wp:posOffset>
            </wp:positionH>
            <wp:positionV relativeFrom="paragraph">
              <wp:posOffset>1066165</wp:posOffset>
            </wp:positionV>
            <wp:extent cx="1915160" cy="3114675"/>
            <wp:effectExtent l="190500" t="152400" r="180340" b="123825"/>
            <wp:wrapTight wrapText="bothSides">
              <wp:wrapPolygon edited="0">
                <wp:start x="0" y="-1057"/>
                <wp:lineTo x="-1289" y="-661"/>
                <wp:lineTo x="-2149" y="132"/>
                <wp:lineTo x="-1504" y="22194"/>
                <wp:lineTo x="-430" y="22459"/>
                <wp:lineTo x="21915" y="22459"/>
                <wp:lineTo x="22130" y="22459"/>
                <wp:lineTo x="22560" y="22194"/>
                <wp:lineTo x="22775" y="22194"/>
                <wp:lineTo x="23419" y="20609"/>
                <wp:lineTo x="23419" y="1057"/>
                <wp:lineTo x="23634" y="396"/>
                <wp:lineTo x="22345" y="-925"/>
                <wp:lineTo x="21271" y="-1057"/>
                <wp:lineTo x="0" y="-105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915160" cy="3114675"/>
                    </a:xfrm>
                    <a:prstGeom prst="rect">
                      <a:avLst/>
                    </a:prstGeom>
                    <a:ln>
                      <a:noFill/>
                    </a:ln>
                    <a:effectLst>
                      <a:outerShdw blurRad="190500" algn="tl" rotWithShape="0">
                        <a:srgbClr val="000000">
                          <a:alpha val="70000"/>
                        </a:srgbClr>
                      </a:outerShdw>
                    </a:effectLst>
                  </pic:spPr>
                </pic:pic>
              </a:graphicData>
            </a:graphic>
          </wp:anchor>
        </w:drawing>
      </w:r>
      <w:r w:rsidR="001F1468" w:rsidRPr="003625D9">
        <w:rPr>
          <w:rFonts w:asciiTheme="majorHAnsi" w:hAnsiTheme="majorHAnsi"/>
          <w:color w:val="231F20"/>
        </w:rPr>
        <w:t xml:space="preserve">One barrier a diagnostic team would have is the lack of </w:t>
      </w:r>
      <w:r w:rsidR="0073511E">
        <w:rPr>
          <w:rFonts w:asciiTheme="majorHAnsi" w:hAnsiTheme="majorHAnsi"/>
          <w:color w:val="231F20"/>
        </w:rPr>
        <w:t>current</w:t>
      </w:r>
      <w:r w:rsidR="001F1468" w:rsidRPr="003625D9">
        <w:rPr>
          <w:rFonts w:asciiTheme="majorHAnsi" w:hAnsiTheme="majorHAnsi"/>
          <w:color w:val="231F20"/>
        </w:rPr>
        <w:t xml:space="preserve"> data to support our interventions. The only data available is the 8</w:t>
      </w:r>
      <w:r w:rsidR="001F1468" w:rsidRPr="003625D9">
        <w:rPr>
          <w:rFonts w:asciiTheme="majorHAnsi" w:hAnsiTheme="majorHAnsi"/>
          <w:color w:val="231F20"/>
          <w:vertAlign w:val="superscript"/>
        </w:rPr>
        <w:t>th</w:t>
      </w:r>
      <w:r w:rsidR="001F1468" w:rsidRPr="003625D9">
        <w:rPr>
          <w:rFonts w:asciiTheme="majorHAnsi" w:hAnsiTheme="majorHAnsi"/>
          <w:color w:val="231F20"/>
        </w:rPr>
        <w:t xml:space="preserve"> and 11</w:t>
      </w:r>
      <w:r w:rsidR="001F1468" w:rsidRPr="003625D9">
        <w:rPr>
          <w:rFonts w:asciiTheme="majorHAnsi" w:hAnsiTheme="majorHAnsi"/>
          <w:color w:val="231F20"/>
          <w:vertAlign w:val="superscript"/>
        </w:rPr>
        <w:t>th</w:t>
      </w:r>
      <w:r w:rsidR="001F1468" w:rsidRPr="003625D9">
        <w:rPr>
          <w:rFonts w:asciiTheme="majorHAnsi" w:hAnsiTheme="majorHAnsi"/>
          <w:color w:val="231F20"/>
        </w:rPr>
        <w:t xml:space="preserve"> grade NECAP scores. In order to </w:t>
      </w:r>
      <w:r w:rsidR="002C6552">
        <w:rPr>
          <w:rFonts w:asciiTheme="majorHAnsi" w:hAnsiTheme="majorHAnsi"/>
          <w:color w:val="231F20"/>
        </w:rPr>
        <w:t>focus</w:t>
      </w:r>
      <w:r w:rsidR="001F1468" w:rsidRPr="003625D9">
        <w:rPr>
          <w:rFonts w:asciiTheme="majorHAnsi" w:hAnsiTheme="majorHAnsi"/>
          <w:color w:val="231F20"/>
        </w:rPr>
        <w:t xml:space="preserve"> on specific students and problem sets </w:t>
      </w:r>
      <w:r w:rsidR="002C6552">
        <w:rPr>
          <w:rFonts w:asciiTheme="majorHAnsi" w:hAnsiTheme="majorHAnsi"/>
          <w:color w:val="231F20"/>
        </w:rPr>
        <w:t>with the goal of</w:t>
      </w:r>
      <w:r w:rsidR="001F1468" w:rsidRPr="003625D9">
        <w:rPr>
          <w:rFonts w:asciiTheme="majorHAnsi" w:hAnsiTheme="majorHAnsi"/>
          <w:color w:val="231F20"/>
        </w:rPr>
        <w:t xml:space="preserve"> establish</w:t>
      </w:r>
      <w:r w:rsidR="002C6552">
        <w:rPr>
          <w:rFonts w:asciiTheme="majorHAnsi" w:hAnsiTheme="majorHAnsi"/>
          <w:color w:val="231F20"/>
        </w:rPr>
        <w:t>ing</w:t>
      </w:r>
      <w:r w:rsidR="001F1468" w:rsidRPr="003625D9">
        <w:rPr>
          <w:rFonts w:asciiTheme="majorHAnsi" w:hAnsiTheme="majorHAnsi"/>
          <w:color w:val="231F20"/>
        </w:rPr>
        <w:t xml:space="preserve"> an action plan, more recent data must be provided. This could be achieved by administering a school wide diagnostic test using the “Released Items 2008 Grade 8 NECAP</w:t>
      </w:r>
      <w:sdt>
        <w:sdtPr>
          <w:rPr>
            <w:rFonts w:asciiTheme="majorHAnsi" w:hAnsiTheme="majorHAnsi"/>
            <w:color w:val="231F20"/>
          </w:rPr>
          <w:id w:val="44111280"/>
          <w:citation/>
        </w:sdtPr>
        <w:sdtContent>
          <w:r w:rsidR="0001147F" w:rsidRPr="003625D9">
            <w:rPr>
              <w:rFonts w:asciiTheme="majorHAnsi" w:hAnsiTheme="majorHAnsi"/>
              <w:color w:val="231F20"/>
            </w:rPr>
            <w:fldChar w:fldCharType="begin"/>
          </w:r>
          <w:r w:rsidR="001F1468" w:rsidRPr="003625D9">
            <w:rPr>
              <w:rFonts w:asciiTheme="majorHAnsi" w:hAnsiTheme="majorHAnsi"/>
              <w:color w:val="231F20"/>
            </w:rPr>
            <w:instrText xml:space="preserve"> CITATION New05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(RIDE-NECAP, 2005)</w:t>
          </w:r>
          <w:r w:rsidR="0001147F" w:rsidRPr="003625D9">
            <w:rPr>
              <w:rFonts w:asciiTheme="majorHAnsi" w:hAnsiTheme="majorHAnsi"/>
              <w:color w:val="231F20"/>
            </w:rPr>
            <w:fldChar w:fldCharType="end"/>
          </w:r>
        </w:sdtContent>
      </w:sdt>
      <w:r w:rsidR="001F1468" w:rsidRPr="003625D9">
        <w:rPr>
          <w:rFonts w:asciiTheme="majorHAnsi" w:hAnsiTheme="majorHAnsi"/>
          <w:color w:val="231F20"/>
        </w:rPr>
        <w:t xml:space="preserve">. </w:t>
      </w:r>
    </w:p>
    <w:p w:rsidR="00F93843" w:rsidRDefault="002B34A2" w:rsidP="003D7BE8">
      <w:pPr>
        <w:spacing w:line="480" w:lineRule="auto"/>
        <w:ind w:firstLine="706"/>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0288" behindDoc="1" locked="0" layoutInCell="1" allowOverlap="1">
            <wp:simplePos x="0" y="0"/>
            <wp:positionH relativeFrom="column">
              <wp:posOffset>1733550</wp:posOffset>
            </wp:positionH>
            <wp:positionV relativeFrom="paragraph">
              <wp:posOffset>1431925</wp:posOffset>
            </wp:positionV>
            <wp:extent cx="4095750" cy="1525905"/>
            <wp:effectExtent l="190500" t="152400" r="171450" b="112395"/>
            <wp:wrapTight wrapText="bothSides">
              <wp:wrapPolygon edited="0">
                <wp:start x="0" y="-2157"/>
                <wp:lineTo x="-603" y="-1348"/>
                <wp:lineTo x="-1005" y="270"/>
                <wp:lineTo x="-1005" y="20764"/>
                <wp:lineTo x="-502" y="23191"/>
                <wp:lineTo x="-201" y="23191"/>
                <wp:lineTo x="21700" y="23191"/>
                <wp:lineTo x="22002" y="23191"/>
                <wp:lineTo x="22504" y="20494"/>
                <wp:lineTo x="22404" y="19416"/>
                <wp:lineTo x="22404" y="2157"/>
                <wp:lineTo x="22504" y="809"/>
                <wp:lineTo x="21901" y="-1888"/>
                <wp:lineTo x="21399" y="-2157"/>
                <wp:lineTo x="0" y="-215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095750" cy="1525905"/>
                    </a:xfrm>
                    <a:prstGeom prst="rect">
                      <a:avLst/>
                    </a:prstGeom>
                    <a:ln>
                      <a:noFill/>
                    </a:ln>
                    <a:effectLst>
                      <a:outerShdw blurRad="190500" algn="tl" rotWithShape="0">
                        <a:srgbClr val="000000">
                          <a:alpha val="70000"/>
                        </a:srgbClr>
                      </a:outerShdw>
                    </a:effectLst>
                  </pic:spPr>
                </pic:pic>
              </a:graphicData>
            </a:graphic>
          </wp:anchor>
        </w:drawing>
      </w:r>
      <w:r w:rsidR="00A064B3">
        <w:rPr>
          <w:rFonts w:asciiTheme="majorHAnsi" w:hAnsiTheme="majorHAnsi"/>
          <w:color w:val="231F20"/>
        </w:rPr>
        <w:t xml:space="preserve">Meticulous analysis of particular NECAP items is key to our focus.  </w:t>
      </w:r>
      <w:r w:rsidR="001F1468" w:rsidRPr="003625D9">
        <w:rPr>
          <w:rFonts w:asciiTheme="majorHAnsi" w:hAnsiTheme="majorHAnsi"/>
          <w:color w:val="231F20"/>
        </w:rPr>
        <w:t xml:space="preserve">One </w:t>
      </w:r>
      <w:r w:rsidR="00A064B3" w:rsidRPr="003625D9">
        <w:rPr>
          <w:rFonts w:asciiTheme="majorHAnsi" w:hAnsiTheme="majorHAnsi"/>
          <w:color w:val="231F20"/>
        </w:rPr>
        <w:t>approach</w:t>
      </w:r>
      <w:r w:rsidR="001F1468" w:rsidRPr="003625D9">
        <w:rPr>
          <w:rFonts w:asciiTheme="majorHAnsi" w:hAnsiTheme="majorHAnsi"/>
          <w:color w:val="231F20"/>
        </w:rPr>
        <w:t xml:space="preserve"> to focus our resources is to identify specific and less </w:t>
      </w:r>
      <w:r w:rsidR="002C6552" w:rsidRPr="003625D9">
        <w:rPr>
          <w:rFonts w:asciiTheme="majorHAnsi" w:hAnsiTheme="majorHAnsi"/>
          <w:color w:val="231F20"/>
        </w:rPr>
        <w:t>sophisticated</w:t>
      </w:r>
      <w:r w:rsidR="001F1468" w:rsidRPr="003625D9">
        <w:rPr>
          <w:rFonts w:asciiTheme="majorHAnsi" w:hAnsiTheme="majorHAnsi"/>
          <w:color w:val="231F20"/>
        </w:rPr>
        <w:t xml:space="preserve"> algebraic problems on the NECAP of which students overwhelmingly scored incorrectly</w:t>
      </w:r>
      <w:r w:rsidR="002E747D">
        <w:rPr>
          <w:rFonts w:asciiTheme="majorHAnsi" w:hAnsiTheme="majorHAnsi"/>
          <w:color w:val="231F20"/>
        </w:rPr>
        <w:t>,</w:t>
      </w:r>
      <w:r w:rsidR="005235D7">
        <w:rPr>
          <w:rFonts w:asciiTheme="majorHAnsi" w:hAnsiTheme="majorHAnsi"/>
          <w:color w:val="231F20"/>
        </w:rPr>
        <w:t xml:space="preserve"> as exhibited above</w:t>
      </w:r>
      <w:r w:rsidR="001F1468" w:rsidRPr="003625D9">
        <w:rPr>
          <w:rFonts w:asciiTheme="majorHAnsi" w:hAnsiTheme="majorHAnsi"/>
          <w:color w:val="231F20"/>
        </w:rPr>
        <w:t>. In this case, our study group identified questions 2, 1</w:t>
      </w:r>
      <w:r w:rsidR="00A064B3">
        <w:rPr>
          <w:rFonts w:asciiTheme="majorHAnsi" w:hAnsiTheme="majorHAnsi"/>
          <w:color w:val="231F20"/>
        </w:rPr>
        <w:t xml:space="preserve">1, 13, 18, and 21 on the NECAP, which </w:t>
      </w:r>
      <w:r w:rsidR="001F1468" w:rsidRPr="003625D9">
        <w:rPr>
          <w:rFonts w:asciiTheme="majorHAnsi" w:hAnsiTheme="majorHAnsi"/>
          <w:color w:val="231F20"/>
        </w:rPr>
        <w:t xml:space="preserve">serve as our </w:t>
      </w:r>
      <w:r w:rsidR="00A064B3">
        <w:rPr>
          <w:rFonts w:asciiTheme="majorHAnsi" w:hAnsiTheme="majorHAnsi"/>
          <w:color w:val="231F20"/>
        </w:rPr>
        <w:t>central</w:t>
      </w:r>
      <w:r w:rsidR="001F1468" w:rsidRPr="003625D9">
        <w:rPr>
          <w:rFonts w:asciiTheme="majorHAnsi" w:hAnsiTheme="majorHAnsi"/>
          <w:color w:val="231F20"/>
        </w:rPr>
        <w:t xml:space="preserve"> focus for our pre-algebraic intervention purposes. </w:t>
      </w:r>
      <w:r w:rsidR="00FF42C8">
        <w:rPr>
          <w:rFonts w:asciiTheme="majorHAnsi" w:hAnsiTheme="majorHAnsi"/>
          <w:color w:val="231F20"/>
        </w:rPr>
        <w:t xml:space="preserve">Grade Span Expectations represented through these </w:t>
      </w:r>
      <w:r w:rsidR="004C2F01">
        <w:rPr>
          <w:rFonts w:asciiTheme="majorHAnsi" w:hAnsiTheme="majorHAnsi"/>
          <w:color w:val="231F20"/>
        </w:rPr>
        <w:t>identified focus items</w:t>
      </w:r>
      <w:r w:rsidR="00FF42C8">
        <w:rPr>
          <w:rFonts w:asciiTheme="majorHAnsi" w:hAnsiTheme="majorHAnsi"/>
          <w:color w:val="231F20"/>
        </w:rPr>
        <w:t xml:space="preserve"> are </w:t>
      </w:r>
      <w:r w:rsidR="001261AC">
        <w:rPr>
          <w:rFonts w:asciiTheme="majorHAnsi" w:hAnsiTheme="majorHAnsi"/>
          <w:color w:val="231F20"/>
        </w:rPr>
        <w:t>‘</w:t>
      </w:r>
      <w:r w:rsidR="004C2F01">
        <w:rPr>
          <w:rFonts w:asciiTheme="majorHAnsi" w:hAnsiTheme="majorHAnsi"/>
          <w:color w:val="231F20"/>
        </w:rPr>
        <w:t>Da</w:t>
      </w:r>
      <w:r w:rsidR="003E27AD">
        <w:rPr>
          <w:rFonts w:asciiTheme="majorHAnsi" w:hAnsiTheme="majorHAnsi"/>
          <w:color w:val="231F20"/>
        </w:rPr>
        <w:t>ta, Probability, and S</w:t>
      </w:r>
      <w:r w:rsidR="00390844">
        <w:rPr>
          <w:rFonts w:asciiTheme="majorHAnsi" w:hAnsiTheme="majorHAnsi"/>
          <w:color w:val="231F20"/>
        </w:rPr>
        <w:t>tatistics</w:t>
      </w:r>
      <w:r w:rsidR="004C2F01">
        <w:rPr>
          <w:rFonts w:asciiTheme="majorHAnsi" w:hAnsiTheme="majorHAnsi"/>
          <w:color w:val="231F20"/>
        </w:rPr>
        <w:t xml:space="preserve"> </w:t>
      </w:r>
      <w:r w:rsidR="001261AC">
        <w:rPr>
          <w:rFonts w:asciiTheme="majorHAnsi" w:hAnsiTheme="majorHAnsi"/>
          <w:color w:val="231F20"/>
        </w:rPr>
        <w:t xml:space="preserve">(DP) </w:t>
      </w:r>
      <w:r w:rsidR="00FF42C8">
        <w:rPr>
          <w:rFonts w:asciiTheme="majorHAnsi" w:hAnsiTheme="majorHAnsi"/>
          <w:color w:val="231F20"/>
        </w:rPr>
        <w:t>10-1</w:t>
      </w:r>
      <w:r w:rsidR="001261AC">
        <w:rPr>
          <w:rFonts w:asciiTheme="majorHAnsi" w:hAnsiTheme="majorHAnsi"/>
          <w:color w:val="231F20"/>
        </w:rPr>
        <w:t xml:space="preserve"> and 10-2</w:t>
      </w:r>
      <w:r w:rsidR="003E27AD">
        <w:rPr>
          <w:rFonts w:asciiTheme="majorHAnsi" w:hAnsiTheme="majorHAnsi"/>
          <w:color w:val="231F20"/>
        </w:rPr>
        <w:t>’</w:t>
      </w:r>
      <w:r w:rsidR="00FF42C8">
        <w:rPr>
          <w:rFonts w:asciiTheme="majorHAnsi" w:hAnsiTheme="majorHAnsi"/>
          <w:color w:val="231F20"/>
        </w:rPr>
        <w:t xml:space="preserve">, </w:t>
      </w:r>
      <w:r w:rsidR="003E27AD">
        <w:rPr>
          <w:rFonts w:asciiTheme="majorHAnsi" w:hAnsiTheme="majorHAnsi"/>
          <w:color w:val="231F20"/>
        </w:rPr>
        <w:t>‘Numbers and O</w:t>
      </w:r>
      <w:r w:rsidR="004C2F01">
        <w:rPr>
          <w:rFonts w:asciiTheme="majorHAnsi" w:hAnsiTheme="majorHAnsi"/>
          <w:color w:val="231F20"/>
        </w:rPr>
        <w:t xml:space="preserve">perations </w:t>
      </w:r>
      <w:r w:rsidR="00390844">
        <w:rPr>
          <w:rFonts w:asciiTheme="majorHAnsi" w:hAnsiTheme="majorHAnsi"/>
          <w:color w:val="231F20"/>
        </w:rPr>
        <w:t>10-2 and</w:t>
      </w:r>
      <w:r w:rsidR="00FF42C8">
        <w:rPr>
          <w:rFonts w:asciiTheme="majorHAnsi" w:hAnsiTheme="majorHAnsi"/>
          <w:color w:val="231F20"/>
        </w:rPr>
        <w:t xml:space="preserve"> </w:t>
      </w:r>
      <w:r w:rsidR="004C2F01">
        <w:rPr>
          <w:rFonts w:asciiTheme="majorHAnsi" w:hAnsiTheme="majorHAnsi"/>
          <w:color w:val="231F20"/>
        </w:rPr>
        <w:t>10</w:t>
      </w:r>
      <w:r w:rsidR="00FF42C8">
        <w:rPr>
          <w:rFonts w:asciiTheme="majorHAnsi" w:hAnsiTheme="majorHAnsi"/>
          <w:color w:val="231F20"/>
        </w:rPr>
        <w:t>-4</w:t>
      </w:r>
      <w:r w:rsidR="001261AC">
        <w:rPr>
          <w:rFonts w:asciiTheme="majorHAnsi" w:hAnsiTheme="majorHAnsi"/>
          <w:color w:val="231F20"/>
        </w:rPr>
        <w:t xml:space="preserve"> (NO)</w:t>
      </w:r>
      <w:r w:rsidR="003E27AD">
        <w:rPr>
          <w:rFonts w:asciiTheme="majorHAnsi" w:hAnsiTheme="majorHAnsi"/>
          <w:color w:val="231F20"/>
        </w:rPr>
        <w:t>’</w:t>
      </w:r>
      <w:r w:rsidR="001261AC">
        <w:rPr>
          <w:rFonts w:asciiTheme="majorHAnsi" w:hAnsiTheme="majorHAnsi"/>
          <w:color w:val="231F20"/>
        </w:rPr>
        <w:t xml:space="preserve">, and ‘Functions and Algebra (FA) 10-4. </w:t>
      </w:r>
      <w:r w:rsidR="002C4A16">
        <w:rPr>
          <w:rFonts w:asciiTheme="majorHAnsi" w:hAnsiTheme="majorHAnsi"/>
          <w:color w:val="231F20"/>
        </w:rPr>
        <w:t xml:space="preserve">These GSEs deals with a specific topic that allow us to </w:t>
      </w:r>
      <w:r w:rsidR="002C4A16">
        <w:rPr>
          <w:rFonts w:asciiTheme="majorHAnsi" w:hAnsiTheme="majorHAnsi"/>
          <w:color w:val="231F20"/>
        </w:rPr>
        <w:lastRenderedPageBreak/>
        <w:t>expand on either side of the test question</w:t>
      </w:r>
      <w:r w:rsidR="006604B7">
        <w:rPr>
          <w:rFonts w:asciiTheme="majorHAnsi" w:hAnsiTheme="majorHAnsi"/>
          <w:color w:val="231F20"/>
        </w:rPr>
        <w:t xml:space="preserve"> to develop pre-algebra curriculum</w:t>
      </w:r>
      <w:r w:rsidR="002C4A16">
        <w:rPr>
          <w:rFonts w:asciiTheme="majorHAnsi" w:hAnsiTheme="majorHAnsi"/>
          <w:color w:val="231F20"/>
        </w:rPr>
        <w:t xml:space="preserve">. When our team </w:t>
      </w:r>
      <w:r w:rsidR="000935DA">
        <w:rPr>
          <w:rFonts w:asciiTheme="majorHAnsi" w:hAnsiTheme="majorHAnsi"/>
          <w:color w:val="231F20"/>
        </w:rPr>
        <w:t xml:space="preserve">analyzes </w:t>
      </w:r>
      <w:r w:rsidR="002C4A16">
        <w:rPr>
          <w:rFonts w:asciiTheme="majorHAnsi" w:hAnsiTheme="majorHAnsi"/>
          <w:color w:val="231F20"/>
        </w:rPr>
        <w:t xml:space="preserve">the standard that corresponds to </w:t>
      </w:r>
      <w:r w:rsidR="000935DA">
        <w:rPr>
          <w:rFonts w:asciiTheme="majorHAnsi" w:hAnsiTheme="majorHAnsi"/>
          <w:color w:val="231F20"/>
        </w:rPr>
        <w:t>the NECAP questions</w:t>
      </w:r>
      <w:r w:rsidR="002C4A16">
        <w:rPr>
          <w:rFonts w:asciiTheme="majorHAnsi" w:hAnsiTheme="majorHAnsi"/>
          <w:color w:val="231F20"/>
        </w:rPr>
        <w:t xml:space="preserve"> we </w:t>
      </w:r>
      <w:r w:rsidR="006604B7">
        <w:rPr>
          <w:rFonts w:asciiTheme="majorHAnsi" w:hAnsiTheme="majorHAnsi"/>
          <w:color w:val="231F20"/>
        </w:rPr>
        <w:t>construct</w:t>
      </w:r>
      <w:r w:rsidR="002C4A16">
        <w:rPr>
          <w:rFonts w:asciiTheme="majorHAnsi" w:hAnsiTheme="majorHAnsi"/>
          <w:color w:val="231F20"/>
        </w:rPr>
        <w:t xml:space="preserve"> </w:t>
      </w:r>
      <w:r w:rsidR="006604B7">
        <w:rPr>
          <w:rFonts w:asciiTheme="majorHAnsi" w:hAnsiTheme="majorHAnsi"/>
          <w:color w:val="231F20"/>
        </w:rPr>
        <w:t>a lucid understanding of</w:t>
      </w:r>
      <w:r w:rsidR="00131C15">
        <w:rPr>
          <w:rFonts w:asciiTheme="majorHAnsi" w:hAnsiTheme="majorHAnsi"/>
          <w:color w:val="231F20"/>
        </w:rPr>
        <w:t xml:space="preserve"> </w:t>
      </w:r>
      <w:r w:rsidR="006604B7">
        <w:rPr>
          <w:rFonts w:asciiTheme="majorHAnsi" w:hAnsiTheme="majorHAnsi"/>
          <w:color w:val="231F20"/>
        </w:rPr>
        <w:t>the</w:t>
      </w:r>
      <w:r w:rsidR="00131C15">
        <w:rPr>
          <w:rFonts w:asciiTheme="majorHAnsi" w:hAnsiTheme="majorHAnsi"/>
          <w:color w:val="231F20"/>
        </w:rPr>
        <w:t xml:space="preserve"> </w:t>
      </w:r>
      <w:r w:rsidR="006604B7">
        <w:rPr>
          <w:rFonts w:asciiTheme="majorHAnsi" w:hAnsiTheme="majorHAnsi"/>
          <w:color w:val="231F20"/>
        </w:rPr>
        <w:t>type</w:t>
      </w:r>
      <w:r w:rsidR="00131C15">
        <w:rPr>
          <w:rFonts w:asciiTheme="majorHAnsi" w:hAnsiTheme="majorHAnsi"/>
          <w:color w:val="231F20"/>
        </w:rPr>
        <w:t xml:space="preserve"> of question we might ask </w:t>
      </w:r>
      <w:r w:rsidR="000935DA">
        <w:rPr>
          <w:rFonts w:asciiTheme="majorHAnsi" w:hAnsiTheme="majorHAnsi"/>
          <w:color w:val="231F20"/>
        </w:rPr>
        <w:t>our students</w:t>
      </w:r>
      <w:r w:rsidR="00131C15">
        <w:rPr>
          <w:rFonts w:asciiTheme="majorHAnsi" w:hAnsiTheme="majorHAnsi"/>
          <w:color w:val="231F20"/>
        </w:rPr>
        <w:t xml:space="preserve">. </w:t>
      </w:r>
      <w:r w:rsidR="009B2BB0">
        <w:rPr>
          <w:rFonts w:asciiTheme="majorHAnsi" w:hAnsiTheme="majorHAnsi"/>
          <w:color w:val="231F20"/>
        </w:rPr>
        <w:t>Under other circumstances in the absence of a district wide pacing guide, o</w:t>
      </w:r>
      <w:r w:rsidR="000935DA">
        <w:rPr>
          <w:rFonts w:asciiTheme="majorHAnsi" w:hAnsiTheme="majorHAnsi"/>
          <w:color w:val="231F20"/>
        </w:rPr>
        <w:t xml:space="preserve">ur MIT </w:t>
      </w:r>
      <w:r w:rsidR="006604B7">
        <w:rPr>
          <w:rFonts w:asciiTheme="majorHAnsi" w:hAnsiTheme="majorHAnsi"/>
          <w:color w:val="231F20"/>
        </w:rPr>
        <w:t xml:space="preserve">would develop lesson plans and assessments central to our specific items inspired </w:t>
      </w:r>
      <w:r w:rsidR="000C4EFF">
        <w:rPr>
          <w:rFonts w:asciiTheme="majorHAnsi" w:hAnsiTheme="majorHAnsi"/>
          <w:noProof/>
          <w:color w:val="231F20"/>
          <w:lang w:val="es-ES_tradnl" w:eastAsia="es-ES_tradnl"/>
        </w:rPr>
        <w:drawing>
          <wp:anchor distT="0" distB="0" distL="114300" distR="114300" simplePos="0" relativeHeight="251659264" behindDoc="1" locked="0" layoutInCell="1" allowOverlap="1">
            <wp:simplePos x="0" y="0"/>
            <wp:positionH relativeFrom="column">
              <wp:posOffset>2771775</wp:posOffset>
            </wp:positionH>
            <wp:positionV relativeFrom="paragraph">
              <wp:posOffset>1847850</wp:posOffset>
            </wp:positionV>
            <wp:extent cx="2609850" cy="1168400"/>
            <wp:effectExtent l="38100" t="57150" r="114300" b="88900"/>
            <wp:wrapTight wrapText="bothSides">
              <wp:wrapPolygon edited="0">
                <wp:start x="-315" y="-1057"/>
                <wp:lineTo x="-315" y="23243"/>
                <wp:lineTo x="22231" y="23243"/>
                <wp:lineTo x="22546" y="21835"/>
                <wp:lineTo x="22546" y="-352"/>
                <wp:lineTo x="22231" y="-1057"/>
                <wp:lineTo x="-315" y="-105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609850" cy="1168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6604B7">
        <w:rPr>
          <w:rFonts w:asciiTheme="majorHAnsi" w:hAnsiTheme="majorHAnsi"/>
          <w:color w:val="231F20"/>
        </w:rPr>
        <w:t>by NECAP results. The MIT</w:t>
      </w:r>
      <w:r w:rsidR="009B2BB0">
        <w:rPr>
          <w:rFonts w:asciiTheme="majorHAnsi" w:hAnsiTheme="majorHAnsi"/>
          <w:color w:val="231F20"/>
        </w:rPr>
        <w:t xml:space="preserve"> would also</w:t>
      </w:r>
      <w:r w:rsidR="00961ACB">
        <w:rPr>
          <w:rFonts w:asciiTheme="majorHAnsi" w:hAnsiTheme="majorHAnsi"/>
          <w:color w:val="231F20"/>
        </w:rPr>
        <w:t>, along with all departments/teams,</w:t>
      </w:r>
      <w:r w:rsidR="00EB38CB">
        <w:rPr>
          <w:rFonts w:asciiTheme="majorHAnsi" w:hAnsiTheme="majorHAnsi"/>
          <w:color w:val="231F20"/>
        </w:rPr>
        <w:t xml:space="preserve"> be required to furnish curricular mapping units of instruction.</w:t>
      </w:r>
    </w:p>
    <w:p w:rsidR="00397642" w:rsidRDefault="002E747D" w:rsidP="006C636A">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5408" behindDoc="1" locked="0" layoutInCell="1" allowOverlap="1">
            <wp:simplePos x="0" y="0"/>
            <wp:positionH relativeFrom="column">
              <wp:posOffset>28575</wp:posOffset>
            </wp:positionH>
            <wp:positionV relativeFrom="paragraph">
              <wp:posOffset>2165350</wp:posOffset>
            </wp:positionV>
            <wp:extent cx="2743200" cy="3342005"/>
            <wp:effectExtent l="38100" t="57150" r="114300" b="86995"/>
            <wp:wrapTight wrapText="bothSides">
              <wp:wrapPolygon edited="0">
                <wp:start x="-300" y="-369"/>
                <wp:lineTo x="-300" y="22162"/>
                <wp:lineTo x="22200" y="22162"/>
                <wp:lineTo x="22350" y="22162"/>
                <wp:lineTo x="22500" y="21547"/>
                <wp:lineTo x="22500" y="-123"/>
                <wp:lineTo x="22200" y="-369"/>
                <wp:lineTo x="-300" y="-369"/>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743200" cy="33420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F93843">
        <w:rPr>
          <w:rFonts w:asciiTheme="majorHAnsi" w:hAnsiTheme="majorHAnsi"/>
          <w:noProof/>
          <w:color w:val="231F20"/>
          <w:lang w:val="es-ES_tradnl" w:eastAsia="es-ES_tradnl"/>
        </w:rPr>
        <w:drawing>
          <wp:anchor distT="0" distB="0" distL="114300" distR="114300" simplePos="0" relativeHeight="251661312" behindDoc="1" locked="0" layoutInCell="1" allowOverlap="1">
            <wp:simplePos x="0" y="0"/>
            <wp:positionH relativeFrom="column">
              <wp:posOffset>247650</wp:posOffset>
            </wp:positionH>
            <wp:positionV relativeFrom="paragraph">
              <wp:posOffset>154940</wp:posOffset>
            </wp:positionV>
            <wp:extent cx="5135245" cy="1790700"/>
            <wp:effectExtent l="38100" t="57150" r="122555" b="95250"/>
            <wp:wrapTight wrapText="bothSides">
              <wp:wrapPolygon edited="0">
                <wp:start x="-160" y="-689"/>
                <wp:lineTo x="-160" y="22749"/>
                <wp:lineTo x="21955" y="22749"/>
                <wp:lineTo x="22035" y="22749"/>
                <wp:lineTo x="22115" y="21830"/>
                <wp:lineTo x="22115" y="-230"/>
                <wp:lineTo x="21955" y="-689"/>
                <wp:lineTo x="-160" y="-689"/>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135245" cy="17907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1A35FF">
        <w:rPr>
          <w:rFonts w:asciiTheme="majorHAnsi" w:hAnsiTheme="majorHAnsi"/>
          <w:color w:val="231F20"/>
        </w:rPr>
        <w:t>According to our administrative team’s analysis of NECAP</w:t>
      </w:r>
      <w:r w:rsidR="004D7B1E">
        <w:rPr>
          <w:rFonts w:asciiTheme="majorHAnsi" w:hAnsiTheme="majorHAnsi"/>
          <w:color w:val="231F20"/>
        </w:rPr>
        <w:t>’s Item</w:t>
      </w:r>
      <w:r w:rsidR="001A35FF">
        <w:rPr>
          <w:rFonts w:asciiTheme="majorHAnsi" w:hAnsiTheme="majorHAnsi"/>
          <w:color w:val="231F20"/>
        </w:rPr>
        <w:t xml:space="preserve"> Analysis Report</w:t>
      </w:r>
      <w:r w:rsidR="004D7B1E">
        <w:rPr>
          <w:rFonts w:asciiTheme="majorHAnsi" w:hAnsiTheme="majorHAnsi"/>
          <w:color w:val="231F20"/>
        </w:rPr>
        <w:t>s</w:t>
      </w:r>
      <w:r w:rsidR="001A35FF">
        <w:rPr>
          <w:rFonts w:asciiTheme="majorHAnsi" w:hAnsiTheme="majorHAnsi"/>
          <w:color w:val="231F20"/>
        </w:rPr>
        <w:t xml:space="preserve"> , we discovered a common link among the items students were overwhelmingly deficient. A majority of the targeted items on the NECAP involved </w:t>
      </w:r>
      <w:r w:rsidR="004D7B1E">
        <w:rPr>
          <w:rFonts w:asciiTheme="majorHAnsi" w:hAnsiTheme="majorHAnsi"/>
          <w:color w:val="231F20"/>
        </w:rPr>
        <w:t xml:space="preserve">skill sets </w:t>
      </w:r>
      <w:r w:rsidR="008F0C6E">
        <w:rPr>
          <w:rFonts w:asciiTheme="majorHAnsi" w:hAnsiTheme="majorHAnsi"/>
          <w:color w:val="231F20"/>
        </w:rPr>
        <w:t xml:space="preserve">requiring pre-algebraic mastery in </w:t>
      </w:r>
      <w:r w:rsidR="001A35FF">
        <w:rPr>
          <w:rFonts w:asciiTheme="majorHAnsi" w:hAnsiTheme="majorHAnsi"/>
          <w:color w:val="231F20"/>
        </w:rPr>
        <w:t xml:space="preserve">the mean, median, and mode. </w:t>
      </w:r>
      <w:r w:rsidR="00252E47">
        <w:rPr>
          <w:rFonts w:asciiTheme="majorHAnsi" w:hAnsiTheme="majorHAnsi"/>
          <w:color w:val="231F20"/>
        </w:rPr>
        <w:t xml:space="preserve"> Our goal is to develop learning opportunities that </w:t>
      </w:r>
      <w:r w:rsidR="00252E47">
        <w:rPr>
          <w:rFonts w:asciiTheme="majorHAnsi" w:hAnsiTheme="majorHAnsi"/>
          <w:color w:val="231F20"/>
        </w:rPr>
        <w:lastRenderedPageBreak/>
        <w:t>will remediate this problem set.</w:t>
      </w:r>
      <w:r w:rsidR="0000049A">
        <w:rPr>
          <w:rFonts w:asciiTheme="majorHAnsi" w:hAnsiTheme="majorHAnsi"/>
          <w:color w:val="231F20"/>
        </w:rPr>
        <w:t xml:space="preserve"> </w:t>
      </w:r>
    </w:p>
    <w:p w:rsidR="00307FBC" w:rsidRDefault="00307FBC" w:rsidP="00307FBC">
      <w:pPr>
        <w:pStyle w:val="Heading2"/>
        <w:rPr>
          <w:lang w:eastAsia="es-ES_tradnl"/>
        </w:rPr>
      </w:pPr>
      <w:r>
        <w:rPr>
          <w:lang w:eastAsia="es-ES_tradnl"/>
        </w:rPr>
        <w:t>ALIGNMENT</w:t>
      </w:r>
    </w:p>
    <w:p w:rsidR="00307FBC" w:rsidRPr="00307FBC" w:rsidRDefault="00307FBC" w:rsidP="00307FBC">
      <w:pPr>
        <w:rPr>
          <w:lang w:eastAsia="es-ES_tradnl"/>
        </w:rPr>
      </w:pPr>
    </w:p>
    <w:p w:rsidR="00A531A7" w:rsidRDefault="00533E80" w:rsidP="00533E80">
      <w:pPr>
        <w:spacing w:line="480" w:lineRule="auto"/>
        <w:ind w:firstLine="708"/>
        <w:rPr>
          <w:rFonts w:asciiTheme="majorHAnsi" w:hAnsiTheme="majorHAnsi"/>
          <w:color w:val="231F20"/>
        </w:rPr>
      </w:pPr>
      <w:r w:rsidRPr="00533E80">
        <w:rPr>
          <w:rFonts w:asciiTheme="majorHAnsi" w:hAnsiTheme="majorHAnsi"/>
          <w:bCs/>
          <w:color w:val="231F20"/>
        </w:rPr>
        <w:t>G</w:t>
      </w:r>
      <w:r w:rsidR="00A45FAF">
        <w:rPr>
          <w:rFonts w:asciiTheme="majorHAnsi" w:hAnsiTheme="majorHAnsi"/>
          <w:bCs/>
          <w:color w:val="231F20"/>
        </w:rPr>
        <w:t xml:space="preserve">rade </w:t>
      </w:r>
      <w:r w:rsidRPr="00533E80">
        <w:rPr>
          <w:rFonts w:asciiTheme="majorHAnsi" w:hAnsiTheme="majorHAnsi"/>
          <w:bCs/>
          <w:color w:val="231F20"/>
        </w:rPr>
        <w:t>S</w:t>
      </w:r>
      <w:r w:rsidR="00A45FAF">
        <w:rPr>
          <w:rFonts w:asciiTheme="majorHAnsi" w:hAnsiTheme="majorHAnsi"/>
          <w:bCs/>
          <w:color w:val="231F20"/>
        </w:rPr>
        <w:t xml:space="preserve">pan </w:t>
      </w:r>
      <w:r w:rsidRPr="00533E80">
        <w:rPr>
          <w:rFonts w:asciiTheme="majorHAnsi" w:hAnsiTheme="majorHAnsi"/>
          <w:bCs/>
          <w:color w:val="231F20"/>
        </w:rPr>
        <w:t>E</w:t>
      </w:r>
      <w:r w:rsidR="00A45FAF">
        <w:rPr>
          <w:rFonts w:asciiTheme="majorHAnsi" w:hAnsiTheme="majorHAnsi"/>
          <w:bCs/>
          <w:color w:val="231F20"/>
        </w:rPr>
        <w:t xml:space="preserve">xpectations </w:t>
      </w:r>
      <w:r w:rsidR="00A37D0A">
        <w:rPr>
          <w:rFonts w:asciiTheme="majorHAnsi" w:hAnsiTheme="majorHAnsi"/>
          <w:bCs/>
          <w:color w:val="231F20"/>
        </w:rPr>
        <w:t xml:space="preserve">under </w:t>
      </w:r>
      <w:r w:rsidR="00A37D0A" w:rsidRPr="00A37D0A">
        <w:rPr>
          <w:rFonts w:asciiTheme="majorHAnsi" w:hAnsiTheme="majorHAnsi"/>
          <w:b/>
          <w:bCs/>
          <w:color w:val="231F20"/>
        </w:rPr>
        <w:t>Data, Statistics, and Probability</w:t>
      </w:r>
      <w:r w:rsidR="00A37D0A">
        <w:rPr>
          <w:rFonts w:asciiTheme="majorHAnsi" w:hAnsiTheme="majorHAnsi"/>
          <w:b/>
          <w:bCs/>
          <w:color w:val="231F20"/>
        </w:rPr>
        <w:t xml:space="preserve">, </w:t>
      </w:r>
      <w:r w:rsidR="00A37D0A">
        <w:rPr>
          <w:rFonts w:asciiTheme="majorHAnsi" w:hAnsiTheme="majorHAnsi"/>
          <w:bCs/>
          <w:color w:val="231F20"/>
        </w:rPr>
        <w:t>require students to be able to</w:t>
      </w:r>
      <w:r w:rsidR="00A37D0A">
        <w:rPr>
          <w:rFonts w:asciiTheme="majorHAnsi" w:hAnsiTheme="majorHAnsi"/>
          <w:b/>
          <w:bCs/>
          <w:color w:val="231F20"/>
        </w:rPr>
        <w:t xml:space="preserve"> </w:t>
      </w:r>
      <w:r w:rsidR="00A45FAF">
        <w:rPr>
          <w:rFonts w:asciiTheme="majorHAnsi" w:hAnsiTheme="majorHAnsi"/>
          <w:bCs/>
          <w:color w:val="231F20"/>
        </w:rPr>
        <w:t>a</w:t>
      </w:r>
      <w:r w:rsidR="00A37D0A">
        <w:rPr>
          <w:rFonts w:asciiTheme="majorHAnsi" w:hAnsiTheme="majorHAnsi"/>
          <w:bCs/>
          <w:color w:val="231F20"/>
        </w:rPr>
        <w:t>nalyze</w:t>
      </w:r>
      <w:r w:rsidRPr="00533E80">
        <w:rPr>
          <w:rFonts w:asciiTheme="majorHAnsi" w:hAnsiTheme="majorHAnsi"/>
          <w:bCs/>
          <w:color w:val="231F20"/>
        </w:rPr>
        <w:t xml:space="preserve"> patterns, trends, or </w:t>
      </w:r>
      <w:r w:rsidR="00A45FAF">
        <w:rPr>
          <w:rFonts w:asciiTheme="majorHAnsi" w:hAnsiTheme="majorHAnsi"/>
          <w:bCs/>
          <w:color w:val="231F20"/>
        </w:rPr>
        <w:t>d</w:t>
      </w:r>
      <w:r w:rsidRPr="00533E80">
        <w:rPr>
          <w:rFonts w:asciiTheme="majorHAnsi" w:hAnsiTheme="majorHAnsi"/>
          <w:bCs/>
          <w:color w:val="231F20"/>
        </w:rPr>
        <w:t>istributions in data in a variety of contexts by determining or using</w:t>
      </w:r>
      <w:r>
        <w:rPr>
          <w:rFonts w:asciiTheme="majorHAnsi" w:hAnsiTheme="majorHAnsi"/>
          <w:bCs/>
          <w:color w:val="231F20"/>
        </w:rPr>
        <w:t xml:space="preserve"> </w:t>
      </w:r>
      <w:r w:rsidRPr="00533E80">
        <w:rPr>
          <w:rFonts w:asciiTheme="majorHAnsi" w:hAnsiTheme="majorHAnsi"/>
          <w:color w:val="231F20"/>
        </w:rPr>
        <w:t>measures of central t</w:t>
      </w:r>
      <w:r>
        <w:rPr>
          <w:rFonts w:asciiTheme="majorHAnsi" w:hAnsiTheme="majorHAnsi"/>
          <w:color w:val="231F20"/>
        </w:rPr>
        <w:t>endency (mean, median, or mode)</w:t>
      </w:r>
      <w:r w:rsidR="00A37D0A">
        <w:rPr>
          <w:rFonts w:asciiTheme="majorHAnsi" w:hAnsiTheme="majorHAnsi"/>
          <w:color w:val="231F20"/>
        </w:rPr>
        <w:t xml:space="preserve"> by the end of ninth or tenth grade</w:t>
      </w:r>
      <w:sdt>
        <w:sdtPr>
          <w:rPr>
            <w:rFonts w:asciiTheme="majorHAnsi" w:hAnsiTheme="majorHAnsi"/>
            <w:color w:val="231F20"/>
          </w:rPr>
          <w:id w:val="41865973"/>
          <w:citation/>
        </w:sdtPr>
        <w:sdtContent>
          <w:r w:rsidR="0001147F">
            <w:rPr>
              <w:rFonts w:asciiTheme="majorHAnsi" w:hAnsiTheme="majorHAnsi"/>
              <w:color w:val="231F20"/>
            </w:rPr>
            <w:fldChar w:fldCharType="begin"/>
          </w:r>
          <w:r w:rsidR="00A37D0A">
            <w:rPr>
              <w:rFonts w:asciiTheme="majorHAnsi" w:hAnsiTheme="majorHAnsi"/>
              <w:color w:val="231F20"/>
            </w:rPr>
            <w:instrText xml:space="preserve"> CITATION Rho07 \l 1033 </w:instrText>
          </w:r>
          <w:r w:rsidR="0001147F">
            <w:rPr>
              <w:rFonts w:asciiTheme="majorHAnsi" w:hAnsiTheme="majorHAnsi"/>
              <w:color w:val="231F20"/>
            </w:rPr>
            <w:fldChar w:fldCharType="separate"/>
          </w:r>
          <w:r w:rsidR="00A37D0A">
            <w:rPr>
              <w:rFonts w:asciiTheme="majorHAnsi" w:hAnsiTheme="majorHAnsi"/>
              <w:noProof/>
              <w:color w:val="231F20"/>
            </w:rPr>
            <w:t xml:space="preserve"> </w:t>
          </w:r>
          <w:r w:rsidR="00A37D0A" w:rsidRPr="00A37D0A">
            <w:rPr>
              <w:rFonts w:asciiTheme="majorHAnsi" w:hAnsiTheme="majorHAnsi"/>
              <w:noProof/>
              <w:color w:val="231F20"/>
            </w:rPr>
            <w:t>(Rhode Island Department of Education, 2007)</w:t>
          </w:r>
          <w:r w:rsidR="0001147F">
            <w:rPr>
              <w:rFonts w:asciiTheme="majorHAnsi" w:hAnsiTheme="majorHAnsi"/>
              <w:color w:val="231F20"/>
            </w:rPr>
            <w:fldChar w:fldCharType="end"/>
          </w:r>
        </w:sdtContent>
      </w:sdt>
      <w:r>
        <w:rPr>
          <w:rFonts w:asciiTheme="majorHAnsi" w:hAnsiTheme="majorHAnsi"/>
          <w:color w:val="231F20"/>
        </w:rPr>
        <w:t>.</w:t>
      </w:r>
      <w:r w:rsidR="00A37D0A">
        <w:rPr>
          <w:rFonts w:asciiTheme="majorHAnsi" w:hAnsiTheme="majorHAnsi"/>
          <w:color w:val="231F20"/>
        </w:rPr>
        <w:t xml:space="preserve"> According to </w:t>
      </w:r>
      <w:r w:rsidR="00A531A7">
        <w:rPr>
          <w:rFonts w:asciiTheme="majorHAnsi" w:hAnsiTheme="majorHAnsi"/>
          <w:color w:val="231F20"/>
        </w:rPr>
        <w:t xml:space="preserve">Blooms </w:t>
      </w:r>
      <w:r w:rsidR="00A37D0A" w:rsidRPr="00A37D0A">
        <w:rPr>
          <w:rFonts w:asciiTheme="majorHAnsi" w:hAnsiTheme="majorHAnsi"/>
          <w:color w:val="231F20"/>
        </w:rPr>
        <w:t>Revised Taxonomy of Educational Objectives</w:t>
      </w:r>
      <w:r w:rsidR="00A37D0A">
        <w:rPr>
          <w:rFonts w:asciiTheme="majorHAnsi" w:hAnsiTheme="majorHAnsi"/>
          <w:color w:val="231F20"/>
        </w:rPr>
        <w:t xml:space="preserve">, this overall State objective is considered </w:t>
      </w:r>
      <w:r w:rsidR="00EE793A">
        <w:rPr>
          <w:rFonts w:asciiTheme="majorHAnsi" w:hAnsiTheme="majorHAnsi"/>
          <w:color w:val="231F20"/>
        </w:rPr>
        <w:t xml:space="preserve">moderately rigorous since </w:t>
      </w:r>
      <w:r w:rsidR="00DE2D0A">
        <w:rPr>
          <w:rFonts w:asciiTheme="majorHAnsi" w:hAnsiTheme="majorHAnsi"/>
          <w:color w:val="231F20"/>
        </w:rPr>
        <w:t xml:space="preserve">its cognitive process dimension </w:t>
      </w:r>
      <w:r w:rsidR="00432A6E">
        <w:rPr>
          <w:rFonts w:asciiTheme="majorHAnsi" w:hAnsiTheme="majorHAnsi"/>
          <w:color w:val="231F20"/>
        </w:rPr>
        <w:t xml:space="preserve">is positioned </w:t>
      </w:r>
      <w:r w:rsidR="00EE793A">
        <w:rPr>
          <w:rFonts w:asciiTheme="majorHAnsi" w:hAnsiTheme="majorHAnsi"/>
          <w:color w:val="231F20"/>
        </w:rPr>
        <w:t xml:space="preserve">on </w:t>
      </w:r>
      <w:r w:rsidR="00432A6E">
        <w:rPr>
          <w:rFonts w:asciiTheme="majorHAnsi" w:hAnsiTheme="majorHAnsi"/>
          <w:color w:val="231F20"/>
        </w:rPr>
        <w:t xml:space="preserve">the </w:t>
      </w:r>
      <w:r w:rsidR="00F9512A">
        <w:rPr>
          <w:rFonts w:asciiTheme="majorHAnsi" w:hAnsiTheme="majorHAnsi"/>
          <w:color w:val="231F20"/>
        </w:rPr>
        <w:t>(4</w:t>
      </w:r>
      <w:r w:rsidR="007F6748">
        <w:rPr>
          <w:rFonts w:asciiTheme="majorHAnsi" w:hAnsiTheme="majorHAnsi"/>
          <w:color w:val="231F20"/>
        </w:rPr>
        <w:t xml:space="preserve">C) </w:t>
      </w:r>
      <w:r w:rsidR="00EE793A">
        <w:rPr>
          <w:rFonts w:asciiTheme="majorHAnsi" w:hAnsiTheme="majorHAnsi"/>
          <w:color w:val="231F20"/>
        </w:rPr>
        <w:t>analyzing</w:t>
      </w:r>
      <w:r w:rsidR="002E747D">
        <w:rPr>
          <w:rFonts w:asciiTheme="majorHAnsi" w:hAnsiTheme="majorHAnsi"/>
          <w:color w:val="231F20"/>
        </w:rPr>
        <w:t xml:space="preserve"> (</w:t>
      </w:r>
      <w:r w:rsidR="006D56E3">
        <w:rPr>
          <w:rFonts w:asciiTheme="majorHAnsi" w:hAnsiTheme="majorHAnsi"/>
          <w:color w:val="231F20"/>
        </w:rPr>
        <w:t>process)</w:t>
      </w:r>
      <w:r w:rsidR="00EE793A">
        <w:rPr>
          <w:rFonts w:asciiTheme="majorHAnsi" w:hAnsiTheme="majorHAnsi"/>
          <w:color w:val="231F20"/>
        </w:rPr>
        <w:t xml:space="preserve"> procedural knowledge </w:t>
      </w:r>
      <w:r w:rsidR="002E747D">
        <w:rPr>
          <w:rFonts w:asciiTheme="majorHAnsi" w:hAnsiTheme="majorHAnsi"/>
          <w:color w:val="231F20"/>
        </w:rPr>
        <w:t>(</w:t>
      </w:r>
      <w:r w:rsidR="00DE2D0A">
        <w:rPr>
          <w:rFonts w:asciiTheme="majorHAnsi" w:hAnsiTheme="majorHAnsi"/>
          <w:color w:val="231F20"/>
        </w:rPr>
        <w:t>dimension)</w:t>
      </w:r>
      <w:r w:rsidR="00786D6D">
        <w:rPr>
          <w:rFonts w:asciiTheme="majorHAnsi" w:hAnsiTheme="majorHAnsi"/>
          <w:color w:val="231F20"/>
        </w:rPr>
        <w:t xml:space="preserve"> </w:t>
      </w:r>
      <w:r w:rsidR="00EE793A">
        <w:rPr>
          <w:rFonts w:asciiTheme="majorHAnsi" w:hAnsiTheme="majorHAnsi"/>
          <w:color w:val="231F20"/>
        </w:rPr>
        <w:t>category.</w:t>
      </w:r>
      <w:r w:rsidR="00962B2F">
        <w:rPr>
          <w:rFonts w:asciiTheme="majorHAnsi" w:hAnsiTheme="majorHAnsi"/>
          <w:color w:val="231F20"/>
        </w:rPr>
        <w:t xml:space="preserve"> As a result, all objectives, exercises, and assessments will be </w:t>
      </w:r>
      <w:r w:rsidR="00D142AB">
        <w:rPr>
          <w:rFonts w:asciiTheme="majorHAnsi" w:hAnsiTheme="majorHAnsi"/>
          <w:color w:val="231F20"/>
        </w:rPr>
        <w:t>ultimately</w:t>
      </w:r>
      <w:r w:rsidR="00962B2F">
        <w:rPr>
          <w:rFonts w:asciiTheme="majorHAnsi" w:hAnsiTheme="majorHAnsi"/>
          <w:color w:val="231F20"/>
        </w:rPr>
        <w:t xml:space="preserve"> positioned </w:t>
      </w:r>
      <w:r w:rsidR="00D142AB">
        <w:rPr>
          <w:rFonts w:asciiTheme="majorHAnsi" w:hAnsiTheme="majorHAnsi"/>
          <w:color w:val="231F20"/>
        </w:rPr>
        <w:t>at the</w:t>
      </w:r>
      <w:r w:rsidR="00962B2F">
        <w:rPr>
          <w:rFonts w:asciiTheme="majorHAnsi" w:hAnsiTheme="majorHAnsi"/>
          <w:color w:val="231F20"/>
        </w:rPr>
        <w:t xml:space="preserve"> same </w:t>
      </w:r>
      <w:r w:rsidR="00DE2D0A">
        <w:rPr>
          <w:rFonts w:asciiTheme="majorHAnsi" w:hAnsiTheme="majorHAnsi"/>
          <w:color w:val="231F20"/>
        </w:rPr>
        <w:t>level of cognitive complexity</w:t>
      </w:r>
      <w:r w:rsidR="00962B2F">
        <w:rPr>
          <w:rFonts w:asciiTheme="majorHAnsi" w:hAnsiTheme="majorHAnsi"/>
          <w:color w:val="231F20"/>
        </w:rPr>
        <w:t>.</w:t>
      </w:r>
    </w:p>
    <w:p w:rsidR="00307FBC" w:rsidRDefault="009E52EC" w:rsidP="00307FBC">
      <w:pPr>
        <w:pStyle w:val="Heading2"/>
        <w:rPr>
          <w:lang w:eastAsia="es-ES_tradnl"/>
        </w:rPr>
      </w:pPr>
      <w:r>
        <w:rPr>
          <w:lang w:eastAsia="es-ES_tradnl"/>
        </w:rPr>
        <w:t xml:space="preserve">PREALGEBRA </w:t>
      </w:r>
      <w:r w:rsidR="003D7BE8">
        <w:rPr>
          <w:lang w:eastAsia="es-ES_tradnl"/>
        </w:rPr>
        <w:t>LESSON SNAPSHOT</w:t>
      </w:r>
    </w:p>
    <w:p w:rsidR="00307FBC" w:rsidRPr="00307FBC" w:rsidRDefault="00307FBC" w:rsidP="00307FBC">
      <w:pPr>
        <w:rPr>
          <w:lang w:eastAsia="es-ES_tradnl"/>
        </w:rPr>
      </w:pPr>
    </w:p>
    <w:p w:rsidR="006B44E3" w:rsidRPr="000A32A1" w:rsidRDefault="003D7BE8" w:rsidP="00533E80">
      <w:pPr>
        <w:spacing w:line="480" w:lineRule="auto"/>
        <w:ind w:firstLine="708"/>
      </w:pPr>
      <w:r>
        <w:rPr>
          <w:rFonts w:asciiTheme="majorHAnsi" w:hAnsiTheme="majorHAnsi"/>
          <w:noProof/>
          <w:color w:val="231F20"/>
          <w:lang w:val="es-ES_tradnl" w:eastAsia="es-ES_tradnl"/>
        </w:rPr>
        <w:drawing>
          <wp:anchor distT="0" distB="0" distL="114300" distR="114300" simplePos="0" relativeHeight="251668480" behindDoc="1" locked="0" layoutInCell="1" allowOverlap="1">
            <wp:simplePos x="0" y="0"/>
            <wp:positionH relativeFrom="column">
              <wp:posOffset>3695700</wp:posOffset>
            </wp:positionH>
            <wp:positionV relativeFrom="paragraph">
              <wp:posOffset>1841500</wp:posOffset>
            </wp:positionV>
            <wp:extent cx="1885950" cy="2733675"/>
            <wp:effectExtent l="38100" t="57150" r="114300" b="104775"/>
            <wp:wrapTight wrapText="bothSides">
              <wp:wrapPolygon edited="0">
                <wp:start x="-436" y="-452"/>
                <wp:lineTo x="-436" y="22428"/>
                <wp:lineTo x="22473" y="22428"/>
                <wp:lineTo x="22691" y="22428"/>
                <wp:lineTo x="22909" y="21675"/>
                <wp:lineTo x="22909" y="-151"/>
                <wp:lineTo x="22473" y="-452"/>
                <wp:lineTo x="-436" y="-452"/>
              </wp:wrapPolygon>
            </wp:wrapTight>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885950" cy="27336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764560">
        <w:rPr>
          <w:rFonts w:asciiTheme="majorHAnsi" w:hAnsiTheme="majorHAnsi"/>
          <w:color w:val="231F20"/>
        </w:rPr>
        <w:t>Students will be able to define the three terms and solve problems</w:t>
      </w:r>
      <w:r w:rsidR="00F0729E">
        <w:rPr>
          <w:rFonts w:asciiTheme="majorHAnsi" w:hAnsiTheme="majorHAnsi"/>
          <w:color w:val="231F20"/>
        </w:rPr>
        <w:t xml:space="preserve"> on this </w:t>
      </w:r>
      <w:r w:rsidR="006256A8">
        <w:rPr>
          <w:rFonts w:asciiTheme="majorHAnsi" w:hAnsiTheme="majorHAnsi"/>
          <w:color w:val="231F20"/>
        </w:rPr>
        <w:t>a</w:t>
      </w:r>
      <w:r w:rsidR="00F0729E">
        <w:rPr>
          <w:rFonts w:asciiTheme="majorHAnsi" w:hAnsiTheme="majorHAnsi"/>
          <w:color w:val="231F20"/>
        </w:rPr>
        <w:t>ssessment tool as evidence</w:t>
      </w:r>
      <w:r w:rsidR="00764560">
        <w:rPr>
          <w:rFonts w:asciiTheme="majorHAnsi" w:hAnsiTheme="majorHAnsi"/>
          <w:color w:val="231F20"/>
        </w:rPr>
        <w:t xml:space="preserve"> of mastery.</w:t>
      </w:r>
      <w:r w:rsidR="00A93CDE">
        <w:rPr>
          <w:rFonts w:asciiTheme="majorHAnsi" w:hAnsiTheme="majorHAnsi"/>
          <w:color w:val="231F20"/>
        </w:rPr>
        <w:t xml:space="preserve"> </w:t>
      </w:r>
      <w:r w:rsidR="00280DDC">
        <w:rPr>
          <w:rFonts w:asciiTheme="majorHAnsi" w:hAnsiTheme="majorHAnsi"/>
          <w:color w:val="231F20"/>
        </w:rPr>
        <w:t>I</w:t>
      </w:r>
      <w:r w:rsidR="006B44E3">
        <w:rPr>
          <w:rFonts w:asciiTheme="majorHAnsi" w:hAnsiTheme="majorHAnsi"/>
          <w:color w:val="231F20"/>
        </w:rPr>
        <w:t>nstructional question</w:t>
      </w:r>
      <w:r w:rsidR="00280DDC">
        <w:rPr>
          <w:rFonts w:asciiTheme="majorHAnsi" w:hAnsiTheme="majorHAnsi"/>
          <w:color w:val="231F20"/>
        </w:rPr>
        <w:t>s that meet</w:t>
      </w:r>
      <w:r w:rsidR="00374538">
        <w:rPr>
          <w:rFonts w:asciiTheme="majorHAnsi" w:hAnsiTheme="majorHAnsi"/>
          <w:color w:val="231F20"/>
        </w:rPr>
        <w:t xml:space="preserve"> the definition of academic rigor </w:t>
      </w:r>
      <w:r w:rsidR="00586E06">
        <w:rPr>
          <w:rFonts w:asciiTheme="majorHAnsi" w:hAnsiTheme="majorHAnsi"/>
          <w:color w:val="231F20"/>
        </w:rPr>
        <w:t>based on</w:t>
      </w:r>
      <w:r w:rsidR="00374538">
        <w:rPr>
          <w:rFonts w:asciiTheme="majorHAnsi" w:hAnsiTheme="majorHAnsi"/>
          <w:color w:val="231F20"/>
        </w:rPr>
        <w:t xml:space="preserve"> </w:t>
      </w:r>
      <w:r w:rsidR="00586E06">
        <w:rPr>
          <w:rFonts w:asciiTheme="majorHAnsi" w:hAnsiTheme="majorHAnsi"/>
          <w:color w:val="231F20"/>
        </w:rPr>
        <w:t>an alignment exercise utilizing the</w:t>
      </w:r>
      <w:r w:rsidR="00374538">
        <w:rPr>
          <w:rFonts w:asciiTheme="majorHAnsi" w:hAnsiTheme="majorHAnsi"/>
          <w:color w:val="231F20"/>
        </w:rPr>
        <w:t xml:space="preserve"> taxonomy table</w:t>
      </w:r>
      <w:r w:rsidR="006B44E3">
        <w:rPr>
          <w:rFonts w:asciiTheme="majorHAnsi" w:hAnsiTheme="majorHAnsi"/>
          <w:color w:val="231F20"/>
        </w:rPr>
        <w:t xml:space="preserve"> could </w:t>
      </w:r>
      <w:r w:rsidR="00280DDC">
        <w:rPr>
          <w:rFonts w:asciiTheme="majorHAnsi" w:hAnsiTheme="majorHAnsi"/>
          <w:color w:val="231F20"/>
        </w:rPr>
        <w:t>begin with tasks such as</w:t>
      </w:r>
      <w:r w:rsidR="006B44E3">
        <w:rPr>
          <w:rFonts w:asciiTheme="majorHAnsi" w:hAnsiTheme="majorHAnsi"/>
          <w:color w:val="231F20"/>
        </w:rPr>
        <w:t xml:space="preserve"> the following: </w:t>
      </w:r>
      <w:r w:rsidR="000A32A1">
        <w:rPr>
          <w:rFonts w:asciiTheme="majorHAnsi" w:hAnsiTheme="majorHAnsi"/>
          <w:color w:val="231F20"/>
        </w:rPr>
        <w:t xml:space="preserve">Calculate the mean, median, mode(s), and range to the </w:t>
      </w:r>
      <w:r w:rsidR="00116F9E">
        <w:rPr>
          <w:rFonts w:asciiTheme="majorHAnsi" w:hAnsiTheme="majorHAnsi"/>
          <w:color w:val="231F20"/>
        </w:rPr>
        <w:t>n</w:t>
      </w:r>
      <w:r w:rsidR="000A32A1">
        <w:rPr>
          <w:rFonts w:asciiTheme="majorHAnsi" w:hAnsiTheme="majorHAnsi"/>
          <w:color w:val="231F20"/>
        </w:rPr>
        <w:t>earest whole number.</w:t>
      </w:r>
      <w:r w:rsidR="000A32A1" w:rsidRPr="000A32A1">
        <w:rPr>
          <w:rFonts w:asciiTheme="majorHAnsi" w:hAnsiTheme="majorHAnsi"/>
          <w:color w:val="231F20"/>
        </w:rPr>
        <w:t xml:space="preserve"> </w:t>
      </w:r>
    </w:p>
    <w:p w:rsidR="00031941" w:rsidRDefault="001C4C8D" w:rsidP="00280DDC">
      <w:pPr>
        <w:spacing w:line="480" w:lineRule="auto"/>
        <w:ind w:firstLine="708"/>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6432" behindDoc="1" locked="0" layoutInCell="1" allowOverlap="1">
            <wp:simplePos x="0" y="0"/>
            <wp:positionH relativeFrom="column">
              <wp:posOffset>28575</wp:posOffset>
            </wp:positionH>
            <wp:positionV relativeFrom="paragraph">
              <wp:posOffset>57150</wp:posOffset>
            </wp:positionV>
            <wp:extent cx="3143250" cy="714375"/>
            <wp:effectExtent l="38100" t="57150" r="114300" b="104775"/>
            <wp:wrapTight wrapText="bothSides">
              <wp:wrapPolygon edited="0">
                <wp:start x="-262" y="-1728"/>
                <wp:lineTo x="-262" y="24768"/>
                <wp:lineTo x="22124" y="24768"/>
                <wp:lineTo x="22255" y="24768"/>
                <wp:lineTo x="22385" y="21312"/>
                <wp:lineTo x="22385" y="-576"/>
                <wp:lineTo x="22124" y="-1728"/>
                <wp:lineTo x="-262" y="-1728"/>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143250" cy="7143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280DDC">
        <w:rPr>
          <w:rFonts w:asciiTheme="majorHAnsi" w:hAnsiTheme="majorHAnsi"/>
          <w:color w:val="231F20"/>
        </w:rPr>
        <w:t xml:space="preserve">Under this scenario, students are conducting task that are aligned with the State’s GSEs. These types of questions require a level of cognitive complexity that involves how to do something, </w:t>
      </w:r>
      <w:r w:rsidR="00280DDC">
        <w:rPr>
          <w:rFonts w:asciiTheme="majorHAnsi" w:hAnsiTheme="majorHAnsi"/>
          <w:color w:val="231F20"/>
        </w:rPr>
        <w:lastRenderedPageBreak/>
        <w:t xml:space="preserve">methods of inquiry, and criteria for using skills, algorithms, techniques and methods. In order to ensure pre-algebraic mastery, the Mathematics Interventions Team could include exercises that require a higher level of cognitive complexity by forming scenarios that involve the student creating or putting elements together to form a coherent or functional whole. </w:t>
      </w:r>
      <w:r w:rsidR="00B61C6C">
        <w:rPr>
          <w:rFonts w:asciiTheme="majorHAnsi" w:hAnsiTheme="majorHAnsi"/>
          <w:color w:val="231F20"/>
        </w:rPr>
        <w:t xml:space="preserve">Students would generate (hypothesize), plan (design), or produce (construct) elements of the mean, median, and mode into a new pattern or structure. </w:t>
      </w:r>
      <w:r w:rsidR="00031941">
        <w:rPr>
          <w:rFonts w:asciiTheme="majorHAnsi" w:hAnsiTheme="majorHAnsi"/>
          <w:color w:val="231F20"/>
        </w:rPr>
        <w:t>One</w:t>
      </w:r>
      <w:r w:rsidR="00C120FA">
        <w:rPr>
          <w:rFonts w:asciiTheme="majorHAnsi" w:hAnsiTheme="majorHAnsi"/>
          <w:color w:val="231F20"/>
        </w:rPr>
        <w:t xml:space="preserve"> example</w:t>
      </w:r>
      <w:r w:rsidR="00031941">
        <w:rPr>
          <w:rFonts w:asciiTheme="majorHAnsi" w:hAnsiTheme="majorHAnsi"/>
          <w:color w:val="231F20"/>
        </w:rPr>
        <w:t xml:space="preserve"> of higher order thinking</w:t>
      </w:r>
      <w:r w:rsidR="00C120FA">
        <w:rPr>
          <w:rFonts w:asciiTheme="majorHAnsi" w:hAnsiTheme="majorHAnsi"/>
          <w:color w:val="231F20"/>
        </w:rPr>
        <w:t xml:space="preserve">: </w:t>
      </w:r>
    </w:p>
    <w:p w:rsidR="00031941" w:rsidRDefault="00930B7D" w:rsidP="00031941">
      <w:pPr>
        <w:pStyle w:val="ListParagraph"/>
        <w:numPr>
          <w:ilvl w:val="0"/>
          <w:numId w:val="5"/>
        </w:numPr>
        <w:spacing w:line="480" w:lineRule="auto"/>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7456" behindDoc="1" locked="0" layoutInCell="1" allowOverlap="1">
            <wp:simplePos x="0" y="0"/>
            <wp:positionH relativeFrom="column">
              <wp:posOffset>-38100</wp:posOffset>
            </wp:positionH>
            <wp:positionV relativeFrom="paragraph">
              <wp:posOffset>958215</wp:posOffset>
            </wp:positionV>
            <wp:extent cx="2076450" cy="1941195"/>
            <wp:effectExtent l="38100" t="57150" r="114300" b="97155"/>
            <wp:wrapTight wrapText="bothSides">
              <wp:wrapPolygon edited="0">
                <wp:start x="-396" y="-636"/>
                <wp:lineTo x="-396" y="22681"/>
                <wp:lineTo x="22393" y="22681"/>
                <wp:lineTo x="22591" y="22681"/>
                <wp:lineTo x="22789" y="21409"/>
                <wp:lineTo x="22789" y="-212"/>
                <wp:lineTo x="22393" y="-636"/>
                <wp:lineTo x="-396" y="-636"/>
              </wp:wrapPolygon>
            </wp:wrapTigh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076450" cy="19411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031941" w:rsidRPr="00031941">
        <w:rPr>
          <w:rFonts w:asciiTheme="majorHAnsi" w:hAnsiTheme="majorHAnsi"/>
          <w:color w:val="231F20"/>
        </w:rPr>
        <w:t>Make a frequency distribution table for student height</w:t>
      </w:r>
      <w:r w:rsidR="00BD594D">
        <w:rPr>
          <w:rFonts w:asciiTheme="majorHAnsi" w:hAnsiTheme="majorHAnsi"/>
          <w:color w:val="231F20"/>
        </w:rPr>
        <w:t xml:space="preserve"> and find the mean, median, and mode in several data points</w:t>
      </w:r>
      <w:r w:rsidR="00031941" w:rsidRPr="00031941">
        <w:rPr>
          <w:rFonts w:asciiTheme="majorHAnsi" w:hAnsiTheme="majorHAnsi"/>
          <w:color w:val="231F20"/>
        </w:rPr>
        <w:t xml:space="preserve">, or </w:t>
      </w:r>
      <w:r w:rsidR="00031941">
        <w:rPr>
          <w:rFonts w:asciiTheme="majorHAnsi" w:hAnsiTheme="majorHAnsi"/>
          <w:color w:val="231F20"/>
        </w:rPr>
        <w:t xml:space="preserve">B) </w:t>
      </w:r>
      <w:r w:rsidR="00031941" w:rsidRPr="00031941">
        <w:rPr>
          <w:rFonts w:asciiTheme="majorHAnsi" w:hAnsiTheme="majorHAnsi"/>
          <w:color w:val="231F20"/>
        </w:rPr>
        <w:t>Jamel, Lisa, Dwayne, Rosa, and Chen had been working on some problems to review the concepts of organizing, summarizing, and interpreting data. Your task is to 1) carefully read their work, 2)</w:t>
      </w:r>
      <w:r w:rsidR="00031941">
        <w:rPr>
          <w:rFonts w:asciiTheme="majorHAnsi" w:hAnsiTheme="majorHAnsi"/>
          <w:color w:val="231F20"/>
        </w:rPr>
        <w:t xml:space="preserve"> </w:t>
      </w:r>
      <w:r w:rsidR="00031941" w:rsidRPr="00031941">
        <w:rPr>
          <w:rFonts w:asciiTheme="majorHAnsi" w:hAnsiTheme="majorHAnsi"/>
          <w:color w:val="231F20"/>
        </w:rPr>
        <w:t>say what each did incorrectly, and 3) complete the work correctly</w:t>
      </w:r>
      <w:sdt>
        <w:sdtPr>
          <w:rPr>
            <w:rFonts w:asciiTheme="majorHAnsi" w:hAnsiTheme="majorHAnsi"/>
            <w:color w:val="231F20"/>
          </w:rPr>
          <w:id w:val="41865979"/>
          <w:citation/>
        </w:sdtPr>
        <w:sdtContent>
          <w:r w:rsidR="00BD594D">
            <w:rPr>
              <w:rFonts w:asciiTheme="majorHAnsi" w:hAnsiTheme="majorHAnsi"/>
              <w:color w:val="231F20"/>
            </w:rPr>
            <w:fldChar w:fldCharType="begin"/>
          </w:r>
          <w:r w:rsidR="00BD594D">
            <w:rPr>
              <w:rFonts w:asciiTheme="majorHAnsi" w:hAnsiTheme="majorHAnsi"/>
              <w:color w:val="231F20"/>
            </w:rPr>
            <w:instrText xml:space="preserve"> CITATION Ame09 \l 1033 </w:instrText>
          </w:r>
          <w:r w:rsidR="00BD594D">
            <w:rPr>
              <w:rFonts w:asciiTheme="majorHAnsi" w:hAnsiTheme="majorHAnsi"/>
              <w:color w:val="231F20"/>
            </w:rPr>
            <w:fldChar w:fldCharType="separate"/>
          </w:r>
          <w:r w:rsidR="00BD594D">
            <w:rPr>
              <w:rFonts w:asciiTheme="majorHAnsi" w:hAnsiTheme="majorHAnsi"/>
              <w:noProof/>
              <w:color w:val="231F20"/>
            </w:rPr>
            <w:t xml:space="preserve"> </w:t>
          </w:r>
          <w:r w:rsidR="00BD594D" w:rsidRPr="00BD594D">
            <w:rPr>
              <w:rFonts w:asciiTheme="majorHAnsi" w:hAnsiTheme="majorHAnsi"/>
              <w:noProof/>
              <w:color w:val="231F20"/>
            </w:rPr>
            <w:t>(America's Choice, 2009)</w:t>
          </w:r>
          <w:r w:rsidR="00BD594D">
            <w:rPr>
              <w:rFonts w:asciiTheme="majorHAnsi" w:hAnsiTheme="majorHAnsi"/>
              <w:color w:val="231F20"/>
            </w:rPr>
            <w:fldChar w:fldCharType="end"/>
          </w:r>
        </w:sdtContent>
      </w:sdt>
      <w:r w:rsidR="00031941" w:rsidRPr="00031941">
        <w:rPr>
          <w:rFonts w:asciiTheme="majorHAnsi" w:hAnsiTheme="majorHAnsi"/>
          <w:color w:val="231F20"/>
        </w:rPr>
        <w:t xml:space="preserve">. </w:t>
      </w:r>
      <w:r w:rsidR="00031941">
        <w:rPr>
          <w:rFonts w:asciiTheme="majorHAnsi" w:hAnsiTheme="majorHAnsi"/>
          <w:color w:val="231F20"/>
        </w:rPr>
        <w:t xml:space="preserve">Lastly, share with another student who is struggling with these concepts how </w:t>
      </w:r>
      <w:r w:rsidR="00031941" w:rsidRPr="00031941">
        <w:rPr>
          <w:rFonts w:asciiTheme="majorHAnsi" w:hAnsiTheme="majorHAnsi"/>
          <w:i/>
          <w:color w:val="231F20"/>
        </w:rPr>
        <w:t>you</w:t>
      </w:r>
      <w:r w:rsidR="00031941">
        <w:rPr>
          <w:rFonts w:asciiTheme="majorHAnsi" w:hAnsiTheme="majorHAnsi"/>
          <w:color w:val="231F20"/>
        </w:rPr>
        <w:t xml:space="preserve"> </w:t>
      </w:r>
      <w:r w:rsidR="00031941" w:rsidRPr="00BD594D">
        <w:rPr>
          <w:rFonts w:asciiTheme="majorHAnsi" w:hAnsiTheme="majorHAnsi"/>
          <w:i/>
          <w:color w:val="231F20"/>
        </w:rPr>
        <w:t>learned</w:t>
      </w:r>
      <w:r w:rsidR="00031941">
        <w:rPr>
          <w:rFonts w:asciiTheme="majorHAnsi" w:hAnsiTheme="majorHAnsi"/>
          <w:color w:val="231F20"/>
        </w:rPr>
        <w:t xml:space="preserve"> the concepts of mean, median, and mode.</w:t>
      </w:r>
    </w:p>
    <w:p w:rsidR="00280DDC" w:rsidRDefault="00930B7D" w:rsidP="00031941">
      <w:pPr>
        <w:spacing w:line="480" w:lineRule="auto"/>
        <w:rPr>
          <w:rFonts w:asciiTheme="majorHAnsi" w:hAnsiTheme="majorHAnsi"/>
          <w:color w:val="231F20"/>
        </w:rPr>
      </w:pPr>
      <w:r>
        <w:rPr>
          <w:rFonts w:asciiTheme="majorHAnsi" w:hAnsiTheme="majorHAnsi"/>
          <w:noProof/>
          <w:color w:val="231F20"/>
          <w:lang w:val="es-ES_tradnl" w:eastAsia="es-ES_tradnl"/>
        </w:rPr>
        <w:drawing>
          <wp:anchor distT="0" distB="0" distL="114300" distR="114300" simplePos="0" relativeHeight="251669504" behindDoc="1" locked="0" layoutInCell="1" allowOverlap="1">
            <wp:simplePos x="0" y="0"/>
            <wp:positionH relativeFrom="column">
              <wp:posOffset>462280</wp:posOffset>
            </wp:positionH>
            <wp:positionV relativeFrom="paragraph">
              <wp:posOffset>1097915</wp:posOffset>
            </wp:positionV>
            <wp:extent cx="2342515" cy="3105150"/>
            <wp:effectExtent l="514350" t="0" r="743585" b="0"/>
            <wp:wrapTight wrapText="bothSides">
              <wp:wrapPolygon edited="0">
                <wp:start x="-1233" y="20008"/>
                <wp:lineTo x="-1233" y="20935"/>
                <wp:lineTo x="524" y="22525"/>
                <wp:lineTo x="21954" y="22525"/>
                <wp:lineTo x="24062" y="21333"/>
                <wp:lineTo x="24238" y="20273"/>
                <wp:lineTo x="24238" y="-135"/>
                <wp:lineTo x="24062" y="-1195"/>
                <wp:lineTo x="21954" y="-2387"/>
                <wp:lineTo x="1578" y="-2387"/>
                <wp:lineTo x="700" y="-2520"/>
                <wp:lineTo x="-1057" y="-930"/>
                <wp:lineTo x="-1233" y="130"/>
                <wp:lineTo x="-1233" y="20008"/>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rot="5400000">
                      <a:off x="0" y="0"/>
                      <a:ext cx="2342515" cy="3105150"/>
                    </a:xfrm>
                    <a:prstGeom prst="rect">
                      <a:avLst/>
                    </a:prstGeom>
                    <a:ln>
                      <a:noFill/>
                    </a:ln>
                    <a:effectLst>
                      <a:outerShdw blurRad="292100" dist="139700" dir="2700000" algn="tl" rotWithShape="0">
                        <a:srgbClr val="333333">
                          <a:alpha val="65000"/>
                        </a:srgbClr>
                      </a:outerShdw>
                    </a:effectLst>
                  </pic:spPr>
                </pic:pic>
              </a:graphicData>
            </a:graphic>
          </wp:anchor>
        </w:drawing>
      </w:r>
      <w:r w:rsidR="008A3EB1">
        <w:rPr>
          <w:rFonts w:asciiTheme="majorHAnsi" w:hAnsiTheme="majorHAnsi"/>
          <w:color w:val="231F20"/>
        </w:rPr>
        <w:t>Assessment questions could include</w:t>
      </w:r>
      <w:r w:rsidR="003D7BE8">
        <w:rPr>
          <w:rFonts w:asciiTheme="majorHAnsi" w:hAnsiTheme="majorHAnsi"/>
          <w:color w:val="231F20"/>
        </w:rPr>
        <w:t xml:space="preserve"> those similar to the following example. </w:t>
      </w:r>
      <w:r w:rsidR="00BD594D">
        <w:rPr>
          <w:rFonts w:asciiTheme="majorHAnsi" w:hAnsiTheme="majorHAnsi"/>
          <w:color w:val="231F20"/>
        </w:rPr>
        <w:t>T</w:t>
      </w:r>
      <w:r w:rsidR="00B61C6C">
        <w:rPr>
          <w:rFonts w:asciiTheme="majorHAnsi" w:hAnsiTheme="majorHAnsi"/>
          <w:color w:val="231F20"/>
        </w:rPr>
        <w:t xml:space="preserve">his </w:t>
      </w:r>
      <w:r w:rsidR="008A3EB1">
        <w:rPr>
          <w:rFonts w:asciiTheme="majorHAnsi" w:hAnsiTheme="majorHAnsi"/>
          <w:color w:val="231F20"/>
        </w:rPr>
        <w:t>is</w:t>
      </w:r>
      <w:r w:rsidR="00B61C6C">
        <w:rPr>
          <w:rFonts w:asciiTheme="majorHAnsi" w:hAnsiTheme="majorHAnsi"/>
          <w:color w:val="231F20"/>
        </w:rPr>
        <w:t xml:space="preserve"> concomitant with the student expressing metacognitive knowledge, scilicet, knowledge of cognition in general as well as awareness and knowledge of one’s own cognition</w:t>
      </w:r>
      <w:sdt>
        <w:sdtPr>
          <w:rPr>
            <w:rFonts w:asciiTheme="majorHAnsi" w:hAnsiTheme="majorHAnsi"/>
            <w:color w:val="231F20"/>
          </w:rPr>
          <w:id w:val="41865978"/>
          <w:citation/>
        </w:sdtPr>
        <w:sdtContent>
          <w:r w:rsidR="00B61C6C">
            <w:rPr>
              <w:rFonts w:asciiTheme="majorHAnsi" w:hAnsiTheme="majorHAnsi"/>
              <w:color w:val="231F20"/>
            </w:rPr>
            <w:fldChar w:fldCharType="begin"/>
          </w:r>
          <w:r w:rsidR="00B61C6C">
            <w:rPr>
              <w:rFonts w:asciiTheme="majorHAnsi" w:hAnsiTheme="majorHAnsi"/>
              <w:color w:val="231F20"/>
            </w:rPr>
            <w:instrText xml:space="preserve"> CITATION And01 \l 1033 </w:instrText>
          </w:r>
          <w:r w:rsidR="00B61C6C">
            <w:rPr>
              <w:rFonts w:asciiTheme="majorHAnsi" w:hAnsiTheme="majorHAnsi"/>
              <w:color w:val="231F20"/>
            </w:rPr>
            <w:fldChar w:fldCharType="separate"/>
          </w:r>
          <w:r w:rsidR="00B61C6C">
            <w:rPr>
              <w:rFonts w:asciiTheme="majorHAnsi" w:hAnsiTheme="majorHAnsi"/>
              <w:noProof/>
              <w:color w:val="231F20"/>
            </w:rPr>
            <w:t xml:space="preserve"> </w:t>
          </w:r>
          <w:r w:rsidR="00B61C6C" w:rsidRPr="00B61C6C">
            <w:rPr>
              <w:rFonts w:asciiTheme="majorHAnsi" w:hAnsiTheme="majorHAnsi"/>
              <w:noProof/>
              <w:color w:val="231F20"/>
            </w:rPr>
            <w:t>(Anderson, Krathwohl... [et al.], 2001)</w:t>
          </w:r>
          <w:r w:rsidR="00B61C6C">
            <w:rPr>
              <w:rFonts w:asciiTheme="majorHAnsi" w:hAnsiTheme="majorHAnsi"/>
              <w:color w:val="231F20"/>
            </w:rPr>
            <w:fldChar w:fldCharType="end"/>
          </w:r>
        </w:sdtContent>
      </w:sdt>
      <w:r w:rsidR="00B61C6C">
        <w:rPr>
          <w:rFonts w:asciiTheme="majorHAnsi" w:hAnsiTheme="majorHAnsi"/>
          <w:color w:val="231F20"/>
        </w:rPr>
        <w:t>.</w:t>
      </w:r>
      <w:r w:rsidR="00C120FA">
        <w:rPr>
          <w:rFonts w:asciiTheme="majorHAnsi" w:hAnsiTheme="majorHAnsi"/>
          <w:color w:val="231F20"/>
        </w:rPr>
        <w:t xml:space="preserve"> </w:t>
      </w:r>
    </w:p>
    <w:p w:rsidR="000032A0" w:rsidRDefault="000032A0" w:rsidP="000032A0">
      <w:pPr>
        <w:pStyle w:val="Heading2"/>
        <w:rPr>
          <w:lang w:eastAsia="es-ES_tradnl"/>
        </w:rPr>
      </w:pPr>
      <w:r w:rsidRPr="003A6FA2">
        <w:rPr>
          <w:lang w:eastAsia="es-ES_tradnl"/>
        </w:rPr>
        <w:t xml:space="preserve">SMART </w:t>
      </w:r>
      <w:r w:rsidR="00C92099">
        <w:rPr>
          <w:lang w:eastAsia="es-ES_tradnl"/>
        </w:rPr>
        <w:t>GOAL</w:t>
      </w:r>
    </w:p>
    <w:p w:rsidR="00C92099" w:rsidRDefault="00C92099" w:rsidP="00C92099">
      <w:pPr>
        <w:rPr>
          <w:lang w:eastAsia="es-ES_tradnl"/>
        </w:rPr>
      </w:pPr>
    </w:p>
    <w:p w:rsidR="00C92099" w:rsidRPr="003D7BE8" w:rsidRDefault="00C92099" w:rsidP="00C92099">
      <w:pPr>
        <w:pStyle w:val="NoSpacing"/>
        <w:rPr>
          <w:lang w:val="en-US" w:eastAsia="es-ES_tradnl"/>
        </w:rPr>
      </w:pPr>
      <w:r w:rsidRPr="003D7BE8">
        <w:rPr>
          <w:lang w:val="en-US" w:eastAsia="es-ES_tradnl"/>
        </w:rPr>
        <w:lastRenderedPageBreak/>
        <w:tab/>
      </w:r>
    </w:p>
    <w:p w:rsidR="002E747D" w:rsidRDefault="00F209AD" w:rsidP="00DE39BE">
      <w:pPr>
        <w:spacing w:line="480" w:lineRule="auto"/>
        <w:ind w:firstLine="708"/>
        <w:rPr>
          <w:rFonts w:asciiTheme="majorHAnsi" w:hAnsiTheme="majorHAnsi"/>
          <w:color w:val="231F20"/>
        </w:rPr>
      </w:pPr>
      <w:r>
        <w:rPr>
          <w:rFonts w:asciiTheme="majorHAnsi" w:hAnsiTheme="majorHAnsi"/>
          <w:color w:val="231F20"/>
        </w:rPr>
        <w:t xml:space="preserve">The teacher leader, Ellen, will work </w:t>
      </w:r>
      <w:r w:rsidR="002E747D">
        <w:rPr>
          <w:rFonts w:asciiTheme="majorHAnsi" w:hAnsiTheme="majorHAnsi"/>
          <w:color w:val="231F20"/>
        </w:rPr>
        <w:t xml:space="preserve">as </w:t>
      </w:r>
      <w:r w:rsidR="009E52EC">
        <w:rPr>
          <w:rFonts w:asciiTheme="majorHAnsi" w:hAnsiTheme="majorHAnsi"/>
          <w:color w:val="231F20"/>
        </w:rPr>
        <w:t xml:space="preserve">or </w:t>
      </w:r>
      <w:r>
        <w:rPr>
          <w:rFonts w:asciiTheme="majorHAnsi" w:hAnsiTheme="majorHAnsi"/>
          <w:color w:val="231F20"/>
        </w:rPr>
        <w:t>with the chair of the MIT to promote our school’s pre-algebra SMART goal.</w:t>
      </w:r>
      <w:r w:rsidR="00DE39BE">
        <w:rPr>
          <w:rFonts w:asciiTheme="majorHAnsi" w:hAnsiTheme="majorHAnsi"/>
          <w:color w:val="231F20"/>
        </w:rPr>
        <w:t xml:space="preserve"> This school goal is directly aligned with the Providence School District’s goal to lead at minimum “70% of all students to attain achievement proficiency levels of 3 or 4 on NECAP by the 2011-2012 academic year”</w:t>
      </w:r>
      <w:sdt>
        <w:sdtPr>
          <w:rPr>
            <w:rFonts w:asciiTheme="majorHAnsi" w:hAnsiTheme="majorHAnsi"/>
            <w:color w:val="231F20"/>
          </w:rPr>
          <w:id w:val="41865986"/>
          <w:citation/>
        </w:sdtPr>
        <w:sdtContent>
          <w:r w:rsidR="00DE39BE">
            <w:rPr>
              <w:rFonts w:asciiTheme="majorHAnsi" w:hAnsiTheme="majorHAnsi"/>
              <w:color w:val="231F20"/>
            </w:rPr>
            <w:fldChar w:fldCharType="begin"/>
          </w:r>
          <w:r w:rsidR="00DE39BE">
            <w:rPr>
              <w:rFonts w:asciiTheme="majorHAnsi" w:hAnsiTheme="majorHAnsi"/>
              <w:color w:val="231F20"/>
            </w:rPr>
            <w:instrText xml:space="preserve"> CITATION Pro08 \l 1033 </w:instrText>
          </w:r>
          <w:r w:rsidR="00DE39BE">
            <w:rPr>
              <w:rFonts w:asciiTheme="majorHAnsi" w:hAnsiTheme="majorHAnsi"/>
              <w:color w:val="231F20"/>
            </w:rPr>
            <w:fldChar w:fldCharType="separate"/>
          </w:r>
          <w:r w:rsidR="00DE39BE">
            <w:rPr>
              <w:rFonts w:asciiTheme="majorHAnsi" w:hAnsiTheme="majorHAnsi"/>
              <w:noProof/>
              <w:color w:val="231F20"/>
            </w:rPr>
            <w:t xml:space="preserve"> </w:t>
          </w:r>
          <w:r w:rsidR="00DE39BE" w:rsidRPr="00DE39BE">
            <w:rPr>
              <w:rFonts w:asciiTheme="majorHAnsi" w:hAnsiTheme="majorHAnsi"/>
              <w:noProof/>
              <w:color w:val="231F20"/>
            </w:rPr>
            <w:t>(Providence Public School District, 2008)</w:t>
          </w:r>
          <w:r w:rsidR="00DE39BE">
            <w:rPr>
              <w:rFonts w:asciiTheme="majorHAnsi" w:hAnsiTheme="majorHAnsi"/>
              <w:color w:val="231F20"/>
            </w:rPr>
            <w:fldChar w:fldCharType="end"/>
          </w:r>
        </w:sdtContent>
      </w:sdt>
      <w:r w:rsidR="00DE39BE">
        <w:rPr>
          <w:rFonts w:asciiTheme="majorHAnsi" w:hAnsiTheme="majorHAnsi"/>
          <w:color w:val="231F20"/>
        </w:rPr>
        <w:t xml:space="preserve">. </w:t>
      </w:r>
      <w:r w:rsidR="00F2785E">
        <w:rPr>
          <w:rFonts w:asciiTheme="majorHAnsi" w:hAnsiTheme="majorHAnsi"/>
          <w:color w:val="231F20"/>
        </w:rPr>
        <w:t xml:space="preserve"> </w:t>
      </w:r>
      <w:r w:rsidR="009E52EC">
        <w:rPr>
          <w:rFonts w:asciiTheme="majorHAnsi" w:hAnsiTheme="majorHAnsi"/>
          <w:color w:val="231F20"/>
        </w:rPr>
        <w:t>Hope High School Academy of Information Technology (AOIT) scored in the single digits at only 8 percent of its students achieving a level of proficiency on the NECAP</w:t>
      </w:r>
      <w:sdt>
        <w:sdtPr>
          <w:rPr>
            <w:rFonts w:asciiTheme="majorHAnsi" w:hAnsiTheme="majorHAnsi"/>
            <w:color w:val="231F20"/>
          </w:rPr>
          <w:id w:val="41865987"/>
          <w:citation/>
        </w:sdtPr>
        <w:sdtContent>
          <w:r w:rsidR="009E52EC">
            <w:rPr>
              <w:rFonts w:asciiTheme="majorHAnsi" w:hAnsiTheme="majorHAnsi"/>
              <w:color w:val="231F20"/>
            </w:rPr>
            <w:fldChar w:fldCharType="begin"/>
          </w:r>
          <w:r w:rsidR="009E52EC">
            <w:rPr>
              <w:rFonts w:asciiTheme="majorHAnsi" w:hAnsiTheme="majorHAnsi"/>
              <w:color w:val="231F20"/>
            </w:rPr>
            <w:instrText xml:space="preserve"> CITATION RID08 \l 1033 </w:instrText>
          </w:r>
          <w:r w:rsidR="009E52EC">
            <w:rPr>
              <w:rFonts w:asciiTheme="majorHAnsi" w:hAnsiTheme="majorHAnsi"/>
              <w:color w:val="231F20"/>
            </w:rPr>
            <w:fldChar w:fldCharType="separate"/>
          </w:r>
          <w:r w:rsidR="009E52EC">
            <w:rPr>
              <w:rFonts w:asciiTheme="majorHAnsi" w:hAnsiTheme="majorHAnsi"/>
              <w:noProof/>
              <w:color w:val="231F20"/>
            </w:rPr>
            <w:t xml:space="preserve"> </w:t>
          </w:r>
          <w:r w:rsidR="009E52EC" w:rsidRPr="009E52EC">
            <w:rPr>
              <w:rFonts w:asciiTheme="majorHAnsi" w:hAnsiTheme="majorHAnsi"/>
              <w:noProof/>
              <w:color w:val="231F20"/>
            </w:rPr>
            <w:t>(RIDE, 2008)</w:t>
          </w:r>
          <w:r w:rsidR="009E52EC">
            <w:rPr>
              <w:rFonts w:asciiTheme="majorHAnsi" w:hAnsiTheme="majorHAnsi"/>
              <w:color w:val="231F20"/>
            </w:rPr>
            <w:fldChar w:fldCharType="end"/>
          </w:r>
        </w:sdtContent>
      </w:sdt>
      <w:r w:rsidR="009E52EC">
        <w:rPr>
          <w:rFonts w:asciiTheme="majorHAnsi" w:hAnsiTheme="majorHAnsi"/>
          <w:color w:val="231F20"/>
        </w:rPr>
        <w:t>.</w:t>
      </w:r>
      <w:r w:rsidR="000768E8">
        <w:rPr>
          <w:rFonts w:asciiTheme="majorHAnsi" w:hAnsiTheme="majorHAnsi"/>
          <w:color w:val="231F20"/>
        </w:rPr>
        <w:t xml:space="preserve"> We will increase NECAP scores to at least 20 percent proficient the first year 2009, at minimum fifty percent in 2010, </w:t>
      </w:r>
      <w:r w:rsidR="002E747D">
        <w:rPr>
          <w:rFonts w:asciiTheme="majorHAnsi" w:hAnsiTheme="majorHAnsi"/>
          <w:color w:val="231F20"/>
        </w:rPr>
        <w:t xml:space="preserve">and </w:t>
      </w:r>
      <w:r w:rsidR="000768E8">
        <w:rPr>
          <w:rFonts w:asciiTheme="majorHAnsi" w:hAnsiTheme="majorHAnsi"/>
          <w:color w:val="231F20"/>
        </w:rPr>
        <w:t xml:space="preserve">seventy percent by </w:t>
      </w:r>
      <w:r w:rsidR="002E747D">
        <w:rPr>
          <w:rFonts w:asciiTheme="majorHAnsi" w:hAnsiTheme="majorHAnsi"/>
          <w:color w:val="231F20"/>
        </w:rPr>
        <w:t>2011.</w:t>
      </w:r>
    </w:p>
    <w:p w:rsidR="00DE39BE" w:rsidRDefault="002E747D" w:rsidP="00DE39BE">
      <w:pPr>
        <w:spacing w:line="480" w:lineRule="auto"/>
        <w:ind w:firstLine="708"/>
        <w:rPr>
          <w:rFonts w:asciiTheme="majorHAnsi" w:hAnsiTheme="majorHAnsi"/>
          <w:color w:val="231F20"/>
        </w:rPr>
      </w:pPr>
      <w:r>
        <w:rPr>
          <w:rFonts w:asciiTheme="majorHAnsi" w:hAnsiTheme="majorHAnsi"/>
          <w:color w:val="231F20"/>
        </w:rPr>
        <w:t>Our SMART goal, which supports our NECAP goal, is to bring al</w:t>
      </w:r>
      <w:r w:rsidR="000768E8">
        <w:rPr>
          <w:rFonts w:asciiTheme="majorHAnsi" w:hAnsiTheme="majorHAnsi"/>
          <w:color w:val="231F20"/>
        </w:rPr>
        <w:t>l students to pre-</w:t>
      </w:r>
      <w:r w:rsidR="00940123">
        <w:rPr>
          <w:rFonts w:asciiTheme="majorHAnsi" w:hAnsiTheme="majorHAnsi"/>
          <w:color w:val="231F20"/>
        </w:rPr>
        <w:t xml:space="preserve">algebraic mastery by </w:t>
      </w:r>
      <w:r>
        <w:rPr>
          <w:rFonts w:asciiTheme="majorHAnsi" w:hAnsiTheme="majorHAnsi"/>
          <w:color w:val="231F20"/>
        </w:rPr>
        <w:t xml:space="preserve">the end of </w:t>
      </w:r>
      <w:r w:rsidR="00940123">
        <w:rPr>
          <w:rFonts w:asciiTheme="majorHAnsi" w:hAnsiTheme="majorHAnsi"/>
          <w:color w:val="231F20"/>
        </w:rPr>
        <w:t>2010</w:t>
      </w:r>
      <w:r>
        <w:rPr>
          <w:rFonts w:asciiTheme="majorHAnsi" w:hAnsiTheme="majorHAnsi"/>
          <w:color w:val="231F20"/>
        </w:rPr>
        <w:t xml:space="preserve"> academic year</w:t>
      </w:r>
      <w:r w:rsidR="000768E8">
        <w:rPr>
          <w:rFonts w:asciiTheme="majorHAnsi" w:hAnsiTheme="majorHAnsi"/>
          <w:color w:val="231F20"/>
        </w:rPr>
        <w:t>.</w:t>
      </w:r>
      <w:r w:rsidR="00940123">
        <w:rPr>
          <w:rFonts w:asciiTheme="majorHAnsi" w:hAnsiTheme="majorHAnsi"/>
          <w:color w:val="231F20"/>
        </w:rPr>
        <w:t xml:space="preserve"> Currently about one-hundred students (8 percent of the school) are taking “Ramp-up to Algebra” intervention course. We will implement the district’s strict pacing guide for the new curriculum, but exercise prudent and flexibility by dividing the eight units amongst the four teachers, administer a proficiency exam, and appropriately schedule the students accordingly. We will use the formative assessments</w:t>
      </w:r>
      <w:r w:rsidR="000B0DE9">
        <w:rPr>
          <w:rFonts w:asciiTheme="majorHAnsi" w:hAnsiTheme="majorHAnsi"/>
          <w:color w:val="231F20"/>
        </w:rPr>
        <w:t xml:space="preserve"> every few weeks giving students the opportunity to be promoted out of the program or to another level. These responsibilities reside with the entire MIT. </w:t>
      </w:r>
      <w:r w:rsidR="00134CA4">
        <w:rPr>
          <w:rFonts w:asciiTheme="majorHAnsi" w:hAnsiTheme="majorHAnsi"/>
          <w:color w:val="231F20"/>
        </w:rPr>
        <w:t xml:space="preserve">One meeting a month will be dedicated to discussing progress and looking at student work utilizing the tuning protocol to make recommendations for specific students. These recommendations could include promotion, transfer to other units of study, or after school tutoring. Teachers will work with the MIT chair and present </w:t>
      </w:r>
      <w:r w:rsidR="000B23E5">
        <w:rPr>
          <w:rFonts w:asciiTheme="majorHAnsi" w:hAnsiTheme="majorHAnsi"/>
          <w:color w:val="231F20"/>
        </w:rPr>
        <w:t xml:space="preserve">a </w:t>
      </w:r>
      <w:r w:rsidR="00134CA4">
        <w:rPr>
          <w:rFonts w:asciiTheme="majorHAnsi" w:hAnsiTheme="majorHAnsi"/>
          <w:color w:val="231F20"/>
        </w:rPr>
        <w:t xml:space="preserve">list of students to me (principal) and Guidance Counselor Team. </w:t>
      </w:r>
    </w:p>
    <w:p w:rsidR="000B23E5" w:rsidRDefault="000B23E5" w:rsidP="007D34FD">
      <w:pPr>
        <w:pStyle w:val="Heading2"/>
      </w:pPr>
    </w:p>
    <w:p w:rsidR="00DE39BE" w:rsidRDefault="007D34FD" w:rsidP="007D34FD">
      <w:pPr>
        <w:pStyle w:val="Heading2"/>
      </w:pPr>
      <w:r>
        <w:t>MOBILIZING THE MATH INTERVENTION TEAM TO ACTION</w:t>
      </w:r>
    </w:p>
    <w:p w:rsidR="007D34FD" w:rsidRPr="007D34FD" w:rsidRDefault="007D34FD" w:rsidP="007D34FD"/>
    <w:p w:rsidR="006C636A" w:rsidRPr="00116F9E" w:rsidRDefault="00B47265" w:rsidP="00C92099">
      <w:pPr>
        <w:spacing w:line="480" w:lineRule="auto"/>
        <w:ind w:firstLine="708"/>
        <w:rPr>
          <w:rFonts w:asciiTheme="majorHAnsi" w:hAnsiTheme="majorHAnsi"/>
          <w:color w:val="231F20"/>
        </w:rPr>
      </w:pPr>
      <w:r w:rsidRPr="003625D9">
        <w:rPr>
          <w:rFonts w:asciiTheme="majorHAnsi" w:hAnsiTheme="majorHAnsi"/>
          <w:color w:val="231F20"/>
        </w:rPr>
        <w:lastRenderedPageBreak/>
        <w:t xml:space="preserve">Before teams commence working on the central goal of closing the pre-algebraic gap, teams must </w:t>
      </w:r>
      <w:r w:rsidR="00913479">
        <w:rPr>
          <w:rFonts w:asciiTheme="majorHAnsi" w:hAnsiTheme="majorHAnsi"/>
          <w:color w:val="231F20"/>
        </w:rPr>
        <w:t>overcome major restraining forces</w:t>
      </w:r>
      <w:r w:rsidR="002D27A3">
        <w:rPr>
          <w:rFonts w:asciiTheme="majorHAnsi" w:hAnsiTheme="majorHAnsi"/>
          <w:color w:val="231F20"/>
        </w:rPr>
        <w:t>,</w:t>
      </w:r>
      <w:r w:rsidR="00913479">
        <w:rPr>
          <w:rFonts w:asciiTheme="majorHAnsi" w:hAnsiTheme="majorHAnsi"/>
          <w:color w:val="231F20"/>
        </w:rPr>
        <w:t xml:space="preserve"> such as lack of trust. </w:t>
      </w:r>
      <w:r w:rsidR="002D27A3">
        <w:rPr>
          <w:rFonts w:asciiTheme="majorHAnsi" w:hAnsiTheme="majorHAnsi"/>
          <w:color w:val="231F20"/>
        </w:rPr>
        <w:t>Kurt Lewis mentions that we must have a complete understanding of the circumstances to ap</w:t>
      </w:r>
      <w:r w:rsidR="008A6CA1">
        <w:rPr>
          <w:rFonts w:asciiTheme="majorHAnsi" w:hAnsiTheme="majorHAnsi"/>
          <w:color w:val="231F20"/>
        </w:rPr>
        <w:t>proach the problem effectively</w:t>
      </w:r>
      <w:r w:rsidR="00A625A0">
        <w:rPr>
          <w:rFonts w:asciiTheme="majorHAnsi" w:hAnsiTheme="majorHAnsi"/>
          <w:color w:val="231F20"/>
        </w:rPr>
        <w:t xml:space="preserve">. Specifically, he states, </w:t>
      </w:r>
      <w:r w:rsidR="00B761A0">
        <w:rPr>
          <w:rFonts w:asciiTheme="majorHAnsi" w:hAnsiTheme="majorHAnsi"/>
          <w:color w:val="231F20"/>
        </w:rPr>
        <w:t>“the practical task of social management, as well as understanding the dynamics of group life, require insight into the desire for the resistance to, specific change.”</w:t>
      </w:r>
      <w:sdt>
        <w:sdtPr>
          <w:rPr>
            <w:rFonts w:asciiTheme="majorHAnsi" w:hAnsiTheme="majorHAnsi"/>
            <w:color w:val="231F20"/>
          </w:rPr>
          <w:id w:val="41865974"/>
          <w:citation/>
        </w:sdtPr>
        <w:sdtContent>
          <w:r w:rsidR="00A625A0">
            <w:rPr>
              <w:rFonts w:asciiTheme="majorHAnsi" w:hAnsiTheme="majorHAnsi"/>
              <w:color w:val="231F20"/>
            </w:rPr>
            <w:fldChar w:fldCharType="begin"/>
          </w:r>
          <w:r w:rsidR="00A625A0">
            <w:rPr>
              <w:rFonts w:asciiTheme="majorHAnsi" w:hAnsiTheme="majorHAnsi"/>
              <w:color w:val="231F20"/>
            </w:rPr>
            <w:instrText xml:space="preserve"> CITATION Lew47 \p 11 \l 1033  </w:instrText>
          </w:r>
          <w:r w:rsidR="00A625A0">
            <w:rPr>
              <w:rFonts w:asciiTheme="majorHAnsi" w:hAnsiTheme="majorHAnsi"/>
              <w:color w:val="231F20"/>
            </w:rPr>
            <w:fldChar w:fldCharType="separate"/>
          </w:r>
          <w:r w:rsidR="00A625A0">
            <w:rPr>
              <w:rFonts w:asciiTheme="majorHAnsi" w:hAnsiTheme="majorHAnsi"/>
              <w:noProof/>
              <w:color w:val="231F20"/>
            </w:rPr>
            <w:t xml:space="preserve"> </w:t>
          </w:r>
          <w:r w:rsidR="00A625A0" w:rsidRPr="00A625A0">
            <w:rPr>
              <w:rFonts w:asciiTheme="majorHAnsi" w:hAnsiTheme="majorHAnsi"/>
              <w:noProof/>
              <w:color w:val="231F20"/>
            </w:rPr>
            <w:t>(Lewin, 1947, p. 11)</w:t>
          </w:r>
          <w:r w:rsidR="00A625A0">
            <w:rPr>
              <w:rFonts w:asciiTheme="majorHAnsi" w:hAnsiTheme="majorHAnsi"/>
              <w:color w:val="231F20"/>
            </w:rPr>
            <w:fldChar w:fldCharType="end"/>
          </w:r>
        </w:sdtContent>
      </w:sdt>
      <w:r w:rsidR="00B761A0">
        <w:rPr>
          <w:rFonts w:asciiTheme="majorHAnsi" w:hAnsiTheme="majorHAnsi"/>
          <w:color w:val="231F20"/>
        </w:rPr>
        <w:t>.</w:t>
      </w:r>
      <w:r w:rsidR="008A6CA1">
        <w:rPr>
          <w:rFonts w:asciiTheme="majorHAnsi" w:hAnsiTheme="majorHAnsi"/>
          <w:color w:val="231F20"/>
        </w:rPr>
        <w:t xml:space="preserve"> </w:t>
      </w:r>
      <w:r w:rsidR="00913479">
        <w:rPr>
          <w:rFonts w:asciiTheme="majorHAnsi" w:hAnsiTheme="majorHAnsi"/>
          <w:color w:val="231F20"/>
        </w:rPr>
        <w:t>This goal works concomitantly</w:t>
      </w:r>
      <w:r w:rsidR="001A35FF">
        <w:rPr>
          <w:rFonts w:asciiTheme="majorHAnsi" w:hAnsiTheme="majorHAnsi"/>
          <w:color w:val="231F20"/>
        </w:rPr>
        <w:t xml:space="preserve"> wi</w:t>
      </w:r>
      <w:r w:rsidR="00913479">
        <w:rPr>
          <w:rFonts w:asciiTheme="majorHAnsi" w:hAnsiTheme="majorHAnsi"/>
          <w:color w:val="231F20"/>
        </w:rPr>
        <w:t>th establishing</w:t>
      </w:r>
      <w:r w:rsidRPr="003625D9">
        <w:rPr>
          <w:rFonts w:asciiTheme="majorHAnsi" w:hAnsiTheme="majorHAnsi"/>
          <w:color w:val="231F20"/>
        </w:rPr>
        <w:t xml:space="preserve"> a realistic sense of their current </w:t>
      </w:r>
      <w:r w:rsidR="008327E2">
        <w:rPr>
          <w:rFonts w:asciiTheme="majorHAnsi" w:hAnsiTheme="majorHAnsi"/>
          <w:color w:val="231F20"/>
        </w:rPr>
        <w:t xml:space="preserve">relational </w:t>
      </w:r>
      <w:r w:rsidRPr="003625D9">
        <w:rPr>
          <w:rFonts w:asciiTheme="majorHAnsi" w:hAnsiTheme="majorHAnsi"/>
          <w:color w:val="231F20"/>
        </w:rPr>
        <w:t>dynamic</w:t>
      </w:r>
      <w:r w:rsidR="00B761A0">
        <w:rPr>
          <w:rFonts w:asciiTheme="majorHAnsi" w:hAnsiTheme="majorHAnsi"/>
          <w:color w:val="231F20"/>
        </w:rPr>
        <w:t xml:space="preserve"> by use of the Force Field Analysis tool developed by Lewis</w:t>
      </w:r>
      <w:r w:rsidRPr="003625D9">
        <w:rPr>
          <w:rFonts w:asciiTheme="majorHAnsi" w:hAnsiTheme="majorHAnsi"/>
          <w:color w:val="231F20"/>
        </w:rPr>
        <w:t>. A needs assessment to establish conditions for teamwork will be administered among other tools</w:t>
      </w:r>
      <w:sdt>
        <w:sdtPr>
          <w:rPr>
            <w:rFonts w:asciiTheme="majorHAnsi" w:hAnsiTheme="majorHAnsi"/>
            <w:color w:val="231F20"/>
          </w:rPr>
          <w:id w:val="44111479"/>
          <w:citation/>
        </w:sdtPr>
        <w:sdtContent>
          <w:r w:rsidR="0001147F" w:rsidRPr="003625D9">
            <w:rPr>
              <w:rFonts w:asciiTheme="majorHAnsi" w:hAnsiTheme="majorHAnsi"/>
              <w:color w:val="231F20"/>
            </w:rPr>
            <w:fldChar w:fldCharType="begin"/>
          </w:r>
          <w:r w:rsidRPr="003625D9">
            <w:rPr>
              <w:rFonts w:asciiTheme="majorHAnsi" w:hAnsiTheme="majorHAnsi"/>
              <w:color w:val="231F20"/>
            </w:rPr>
            <w:instrText xml:space="preserve"> CITATION Sou09 \p 22 \l 1033  </w:instrText>
          </w:r>
          <w:r w:rsidR="0001147F"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 p. 22)</w:t>
          </w:r>
          <w:r w:rsidR="0001147F" w:rsidRPr="003625D9">
            <w:rPr>
              <w:rFonts w:asciiTheme="majorHAnsi" w:hAnsiTheme="majorHAnsi"/>
              <w:color w:val="231F20"/>
            </w:rPr>
            <w:fldChar w:fldCharType="end"/>
          </w:r>
        </w:sdtContent>
      </w:sdt>
      <w:r w:rsidRPr="003625D9">
        <w:rPr>
          <w:rFonts w:asciiTheme="majorHAnsi" w:hAnsiTheme="majorHAnsi"/>
          <w:color w:val="231F20"/>
        </w:rPr>
        <w:t xml:space="preserve">. </w:t>
      </w:r>
      <w:r w:rsidR="006C636A" w:rsidRPr="003625D9">
        <w:rPr>
          <w:rFonts w:asciiTheme="majorHAnsi" w:hAnsiTheme="majorHAnsi"/>
          <w:lang w:eastAsia="es-ES_tradnl"/>
        </w:rPr>
        <w:t>I would have the MIT develop a formal team charter. This would provide collegial structures that would be used to ascertain and address MIT staff members' needs.</w:t>
      </w:r>
      <w:r w:rsidR="00B8568F">
        <w:rPr>
          <w:rFonts w:asciiTheme="majorHAnsi" w:hAnsiTheme="majorHAnsi"/>
          <w:lang w:eastAsia="es-ES_tradnl"/>
        </w:rPr>
        <w:t xml:space="preserve"> The team charter would provide</w:t>
      </w:r>
      <w:r w:rsidR="006C636A" w:rsidRPr="003625D9">
        <w:rPr>
          <w:rFonts w:asciiTheme="majorHAnsi" w:hAnsiTheme="majorHAnsi"/>
          <w:lang w:eastAsia="es-ES_tradnl"/>
        </w:rPr>
        <w:t xml:space="preserve"> the necessary structured opportunities for the </w:t>
      </w:r>
      <w:r w:rsidR="00993F9E" w:rsidRPr="003625D9">
        <w:rPr>
          <w:rFonts w:asciiTheme="majorHAnsi" w:hAnsiTheme="majorHAnsi"/>
          <w:lang w:eastAsia="es-ES_tradnl"/>
        </w:rPr>
        <w:t>MIT</w:t>
      </w:r>
      <w:r w:rsidR="006C636A" w:rsidRPr="003625D9">
        <w:rPr>
          <w:rFonts w:asciiTheme="majorHAnsi" w:hAnsiTheme="majorHAnsi"/>
          <w:lang w:eastAsia="es-ES_tradnl"/>
        </w:rPr>
        <w:t xml:space="preserve"> to work together to design and implement activities like co-facilitation and teaming approaches, integrated design, new staff induction, and collaborative research.</w:t>
      </w:r>
      <w:sdt>
        <w:sdtPr>
          <w:rPr>
            <w:rFonts w:asciiTheme="majorHAnsi" w:hAnsiTheme="majorHAnsi"/>
            <w:lang w:eastAsia="es-ES_tradnl"/>
          </w:rPr>
          <w:id w:val="34930529"/>
          <w:citation/>
        </w:sdtPr>
        <w:sdtContent>
          <w:r w:rsidR="0001147F"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Sou09 \l 1033 </w:instrText>
          </w:r>
          <w:r w:rsidR="0001147F"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(Southern Regional Education Board, 2009)</w:t>
          </w:r>
          <w:r w:rsidR="0001147F" w:rsidRPr="003625D9">
            <w:rPr>
              <w:rFonts w:asciiTheme="majorHAnsi" w:hAnsiTheme="majorHAnsi"/>
              <w:lang w:eastAsia="es-ES_tradnl"/>
            </w:rPr>
            <w:fldChar w:fldCharType="end"/>
          </w:r>
        </w:sdtContent>
      </w:sdt>
      <w:r w:rsidR="00443EAE">
        <w:rPr>
          <w:rFonts w:asciiTheme="majorHAnsi" w:hAnsiTheme="majorHAnsi"/>
          <w:lang w:eastAsia="es-ES_tradnl"/>
        </w:rPr>
        <w:t xml:space="preserve">. </w:t>
      </w:r>
      <w:r w:rsidR="006C636A" w:rsidRPr="003625D9">
        <w:rPr>
          <w:rFonts w:asciiTheme="majorHAnsi" w:hAnsiTheme="majorHAnsi"/>
          <w:lang w:eastAsia="es-ES_tradnl"/>
        </w:rPr>
        <w:t xml:space="preserve">Given the reality of principal transience, this will solidify their purpose and self sustainment.  </w:t>
      </w:r>
      <w:r w:rsidR="00B0063E">
        <w:rPr>
          <w:rFonts w:asciiTheme="majorHAnsi" w:hAnsiTheme="majorHAnsi"/>
          <w:lang w:eastAsia="es-ES_tradnl"/>
        </w:rPr>
        <w:t xml:space="preserve">Depending on the teams stage (forming, storming, norming, &amp; reforming), a </w:t>
      </w:r>
      <w:r w:rsidR="001C4C8D">
        <w:rPr>
          <w:rFonts w:asciiTheme="majorHAnsi" w:hAnsiTheme="majorHAnsi"/>
          <w:lang w:eastAsia="es-ES_tradnl"/>
        </w:rPr>
        <w:t xml:space="preserve">Kurt Lewin’s </w:t>
      </w:r>
      <w:r w:rsidR="00B0063E">
        <w:rPr>
          <w:rFonts w:asciiTheme="majorHAnsi" w:hAnsiTheme="majorHAnsi"/>
          <w:lang w:eastAsia="es-ES_tradnl"/>
        </w:rPr>
        <w:t xml:space="preserve">Force Field Analysis </w:t>
      </w:r>
      <w:r w:rsidR="001C4C8D">
        <w:rPr>
          <w:rFonts w:asciiTheme="majorHAnsi" w:hAnsiTheme="majorHAnsi"/>
          <w:lang w:eastAsia="es-ES_tradnl"/>
        </w:rPr>
        <w:t>c</w:t>
      </w:r>
      <w:r w:rsidR="00B0063E">
        <w:rPr>
          <w:rFonts w:asciiTheme="majorHAnsi" w:hAnsiTheme="majorHAnsi"/>
          <w:lang w:eastAsia="es-ES_tradnl"/>
        </w:rPr>
        <w:t xml:space="preserve">ould be included as part of a digital survey to discover the obstacles for change. </w:t>
      </w:r>
      <w:r w:rsidR="006C636A" w:rsidRPr="003625D9">
        <w:rPr>
          <w:rFonts w:asciiTheme="majorHAnsi" w:hAnsiTheme="majorHAnsi"/>
          <w:lang w:eastAsia="es-ES_tradnl"/>
        </w:rPr>
        <w:t>Lastly, the team charter would be reviewed by sending out “Critical Issues for Team Consideration” questionnaire to periodically evaluate the effectiveness of the team charter.</w:t>
      </w:r>
      <w:sdt>
        <w:sdtPr>
          <w:rPr>
            <w:rFonts w:asciiTheme="majorHAnsi" w:hAnsiTheme="majorHAnsi"/>
            <w:lang w:eastAsia="es-ES_tradnl"/>
          </w:rPr>
          <w:id w:val="34930536"/>
          <w:citation/>
        </w:sdtPr>
        <w:sdtContent>
          <w:r w:rsidR="0001147F"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DuF06 \p 100-101 \l 1033  </w:instrText>
          </w:r>
          <w:r w:rsidR="0001147F"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100-101)</w:t>
          </w:r>
          <w:r w:rsidR="0001147F" w:rsidRPr="003625D9">
            <w:rPr>
              <w:rFonts w:asciiTheme="majorHAnsi" w:hAnsiTheme="majorHAnsi"/>
              <w:lang w:eastAsia="es-ES_tradnl"/>
            </w:rPr>
            <w:fldChar w:fldCharType="end"/>
          </w:r>
        </w:sdtContent>
      </w:sdt>
    </w:p>
    <w:p w:rsidR="00E875C1" w:rsidRPr="00E463F8" w:rsidRDefault="00E463F8" w:rsidP="007A3F90">
      <w:pPr>
        <w:spacing w:line="480" w:lineRule="auto"/>
        <w:ind w:firstLine="706"/>
        <w:jc w:val="center"/>
        <w:rPr>
          <w:rFonts w:asciiTheme="majorHAnsi" w:hAnsiTheme="majorHAnsi"/>
          <w:b/>
          <w:sz w:val="26"/>
          <w:szCs w:val="26"/>
          <w:lang w:eastAsia="es-ES_tradnl"/>
        </w:rPr>
      </w:pPr>
      <w:r w:rsidRPr="007A3F90">
        <w:rPr>
          <w:rFonts w:asciiTheme="majorHAnsi" w:hAnsiTheme="majorHAnsi"/>
          <w:b/>
          <w:sz w:val="26"/>
          <w:szCs w:val="26"/>
          <w:u w:val="single"/>
          <w:lang w:eastAsia="es-ES_tradnl"/>
        </w:rPr>
        <w:t>REFINE</w:t>
      </w:r>
      <w:r w:rsidR="00E875C1" w:rsidRPr="00E463F8">
        <w:rPr>
          <w:rFonts w:asciiTheme="majorHAnsi" w:hAnsiTheme="majorHAnsi"/>
          <w:b/>
          <w:sz w:val="26"/>
          <w:szCs w:val="26"/>
          <w:lang w:eastAsia="es-ES_tradnl"/>
        </w:rPr>
        <w:t xml:space="preserve"> FOCUS ITEMS FOR PAPER</w:t>
      </w:r>
      <w:r w:rsidRPr="00E463F8">
        <w:rPr>
          <w:rFonts w:asciiTheme="majorHAnsi" w:hAnsiTheme="majorHAnsi"/>
          <w:b/>
          <w:sz w:val="26"/>
          <w:szCs w:val="26"/>
          <w:lang w:eastAsia="es-ES_tradnl"/>
        </w:rPr>
        <w:t xml:space="preserve"> WITH OUR ADMINISTRATION TEAM</w:t>
      </w:r>
    </w:p>
    <w:p w:rsidR="00A16AD8" w:rsidRPr="00E463F8" w:rsidRDefault="007A3F90" w:rsidP="00A16AD8">
      <w:pPr>
        <w:pStyle w:val="NoSpacing"/>
        <w:numPr>
          <w:ilvl w:val="0"/>
          <w:numId w:val="2"/>
        </w:numPr>
        <w:rPr>
          <w:b/>
          <w:sz w:val="26"/>
          <w:szCs w:val="26"/>
          <w:lang w:val="en-US" w:eastAsia="es-ES_tradnl"/>
        </w:rPr>
      </w:pPr>
      <w:r>
        <w:rPr>
          <w:b/>
          <w:sz w:val="26"/>
          <w:szCs w:val="26"/>
          <w:lang w:val="en-US" w:eastAsia="es-ES_tradnl"/>
        </w:rPr>
        <w:t>REVIEW</w:t>
      </w:r>
      <w:r w:rsidR="00E875C1" w:rsidRPr="00E463F8">
        <w:rPr>
          <w:b/>
          <w:sz w:val="26"/>
          <w:szCs w:val="26"/>
          <w:lang w:val="en-US" w:eastAsia="es-ES_tradnl"/>
        </w:rPr>
        <w:t xml:space="preserve"> AT SPECIFIC PROBLEM SETS</w:t>
      </w:r>
    </w:p>
    <w:p w:rsidR="00E875C1" w:rsidRPr="00E463F8" w:rsidRDefault="006D0CA5" w:rsidP="00A16AD8">
      <w:pPr>
        <w:pStyle w:val="NoSpacing"/>
        <w:numPr>
          <w:ilvl w:val="0"/>
          <w:numId w:val="2"/>
        </w:numPr>
        <w:rPr>
          <w:b/>
          <w:sz w:val="26"/>
          <w:szCs w:val="26"/>
          <w:lang w:val="en-US" w:eastAsia="es-ES_tradnl"/>
        </w:rPr>
      </w:pPr>
      <w:r w:rsidRPr="00E463F8">
        <w:rPr>
          <w:b/>
          <w:sz w:val="26"/>
          <w:szCs w:val="26"/>
          <w:lang w:val="en-US" w:eastAsia="es-ES_tradnl"/>
        </w:rPr>
        <w:t xml:space="preserve">USE TAXOMONY TABLE TO </w:t>
      </w:r>
      <w:r w:rsidR="007A3F90">
        <w:rPr>
          <w:b/>
          <w:sz w:val="26"/>
          <w:szCs w:val="26"/>
          <w:lang w:val="en-US" w:eastAsia="es-ES_tradnl"/>
        </w:rPr>
        <w:t>AND</w:t>
      </w:r>
      <w:r w:rsidR="00E875C1" w:rsidRPr="00E463F8">
        <w:rPr>
          <w:b/>
          <w:sz w:val="26"/>
          <w:szCs w:val="26"/>
          <w:lang w:val="en-US" w:eastAsia="es-ES_tradnl"/>
        </w:rPr>
        <w:t xml:space="preserve"> PROBLEMS WITH ALIGNMENT OF STANDARDS, GSE/GLE,</w:t>
      </w:r>
      <w:r w:rsidRPr="00E463F8">
        <w:rPr>
          <w:b/>
          <w:sz w:val="26"/>
          <w:szCs w:val="26"/>
          <w:lang w:val="en-US" w:eastAsia="es-ES_tradnl"/>
        </w:rPr>
        <w:t xml:space="preserve"> AND OBJECTIVES</w:t>
      </w:r>
      <w:r w:rsidR="001F0041" w:rsidRPr="00E463F8">
        <w:rPr>
          <w:b/>
          <w:sz w:val="26"/>
          <w:szCs w:val="26"/>
          <w:lang w:val="en-US" w:eastAsia="es-ES_tradnl"/>
        </w:rPr>
        <w:t xml:space="preserve"> (MY TEAM WILL WORK TOGETHER)</w:t>
      </w:r>
    </w:p>
    <w:p w:rsidR="00E875C1" w:rsidRPr="00E463F8" w:rsidRDefault="007A3F90" w:rsidP="00A16AD8">
      <w:pPr>
        <w:pStyle w:val="NoSpacing"/>
        <w:numPr>
          <w:ilvl w:val="0"/>
          <w:numId w:val="2"/>
        </w:numPr>
        <w:rPr>
          <w:b/>
          <w:sz w:val="26"/>
          <w:szCs w:val="26"/>
          <w:lang w:val="en-US" w:eastAsia="es-ES_tradnl"/>
        </w:rPr>
      </w:pPr>
      <w:r>
        <w:rPr>
          <w:b/>
          <w:sz w:val="26"/>
          <w:szCs w:val="26"/>
          <w:lang w:val="en-US" w:eastAsia="es-ES_tradnl"/>
        </w:rPr>
        <w:t xml:space="preserve">REVIEW </w:t>
      </w:r>
      <w:r w:rsidR="00E875C1" w:rsidRPr="00E463F8">
        <w:rPr>
          <w:b/>
          <w:sz w:val="26"/>
          <w:szCs w:val="26"/>
          <w:lang w:val="en-US" w:eastAsia="es-ES_tradnl"/>
        </w:rPr>
        <w:t xml:space="preserve">PROVIDE SPECIFIC LESSONS THAT CAN BE USED </w:t>
      </w:r>
    </w:p>
    <w:p w:rsidR="00E875C1" w:rsidRPr="00E463F8" w:rsidRDefault="007A3F90" w:rsidP="00E875C1">
      <w:pPr>
        <w:pStyle w:val="NoSpacing"/>
        <w:numPr>
          <w:ilvl w:val="0"/>
          <w:numId w:val="2"/>
        </w:numPr>
        <w:rPr>
          <w:b/>
          <w:sz w:val="26"/>
          <w:szCs w:val="26"/>
          <w:lang w:val="en-US" w:eastAsia="es-ES_tradnl"/>
        </w:rPr>
      </w:pPr>
      <w:r>
        <w:rPr>
          <w:b/>
          <w:sz w:val="26"/>
          <w:szCs w:val="26"/>
          <w:lang w:val="en-US" w:eastAsia="es-ES_tradnl"/>
        </w:rPr>
        <w:lastRenderedPageBreak/>
        <w:t xml:space="preserve">REVIEW </w:t>
      </w:r>
      <w:r w:rsidR="00E875C1" w:rsidRPr="00E463F8">
        <w:rPr>
          <w:b/>
          <w:sz w:val="26"/>
          <w:szCs w:val="26"/>
          <w:lang w:val="en-US" w:eastAsia="es-ES_tradnl"/>
        </w:rPr>
        <w:t xml:space="preserve">FOCUS ON SMART </w:t>
      </w:r>
      <w:r w:rsidR="003A6FA2" w:rsidRPr="00E463F8">
        <w:rPr>
          <w:b/>
          <w:sz w:val="26"/>
          <w:szCs w:val="26"/>
          <w:lang w:val="en-US" w:eastAsia="es-ES_tradnl"/>
        </w:rPr>
        <w:t xml:space="preserve">GOALS–specific, measurable, attainable, results oriented and time-bound </w:t>
      </w:r>
      <w:r w:rsidR="00E875C1" w:rsidRPr="00E463F8">
        <w:rPr>
          <w:b/>
          <w:sz w:val="26"/>
          <w:szCs w:val="26"/>
          <w:lang w:val="en-US" w:eastAsia="es-ES_tradnl"/>
        </w:rPr>
        <w:t>GOALS</w:t>
      </w:r>
    </w:p>
    <w:p w:rsidR="00A16AD8" w:rsidRPr="00E875C1" w:rsidRDefault="00A16AD8" w:rsidP="00A16AD8">
      <w:pPr>
        <w:pStyle w:val="NoSpacing"/>
        <w:rPr>
          <w:color w:val="231F20"/>
          <w:lang w:val="en-US"/>
        </w:rPr>
      </w:pPr>
    </w:p>
    <w:p w:rsidR="00F741E4" w:rsidRPr="003625D9" w:rsidRDefault="00F741E4" w:rsidP="001F1468">
      <w:pPr>
        <w:spacing w:line="480" w:lineRule="auto"/>
        <w:ind w:firstLine="706"/>
        <w:rPr>
          <w:rFonts w:asciiTheme="majorHAnsi" w:hAnsiTheme="majorHAnsi"/>
          <w:color w:val="231F20"/>
        </w:rPr>
      </w:pPr>
    </w:p>
    <w:p w:rsidR="0040670A" w:rsidRDefault="0040670A" w:rsidP="0078391C">
      <w:pPr>
        <w:spacing w:line="480" w:lineRule="auto"/>
        <w:ind w:firstLine="706"/>
        <w:rPr>
          <w:rFonts w:asciiTheme="majorHAnsi" w:hAnsiTheme="majorHAnsi"/>
          <w:color w:val="231F20"/>
        </w:rPr>
      </w:pPr>
    </w:p>
    <w:sdt>
      <w:sdtPr>
        <w:rPr>
          <w:rFonts w:asciiTheme="minorHAnsi" w:eastAsia="Times New Roman" w:hAnsiTheme="minorHAnsi" w:cs="Times New Roman"/>
          <w:b w:val="0"/>
          <w:bCs w:val="0"/>
          <w:color w:val="auto"/>
          <w:sz w:val="24"/>
          <w:szCs w:val="24"/>
          <w:lang w:val="en-US"/>
        </w:rPr>
        <w:id w:val="129205223"/>
        <w:docPartObj>
          <w:docPartGallery w:val="Bibliographies"/>
          <w:docPartUnique/>
        </w:docPartObj>
      </w:sdtPr>
      <w:sdtEndPr>
        <w:rPr>
          <w:rFonts w:eastAsiaTheme="minorHAnsi" w:cstheme="minorBidi"/>
          <w:sz w:val="22"/>
          <w:szCs w:val="22"/>
          <w:lang w:val="es-ES_tradnl"/>
        </w:rPr>
      </w:sdtEndPr>
      <w:sdtContent>
        <w:p w:rsidR="00FE6469" w:rsidRPr="003625D9" w:rsidRDefault="00FE6469" w:rsidP="0040670A">
          <w:pPr>
            <w:pStyle w:val="Heading1"/>
            <w:jc w:val="center"/>
            <w:rPr>
              <w:sz w:val="24"/>
              <w:lang w:val="en-US"/>
            </w:rPr>
          </w:pPr>
          <w:r w:rsidRPr="003625D9">
            <w:rPr>
              <w:sz w:val="24"/>
              <w:lang w:val="en-US"/>
            </w:rPr>
            <w:t>Bibliography</w:t>
          </w:r>
        </w:p>
        <w:sdt>
          <w:sdtPr>
            <w:rPr>
              <w:rFonts w:asciiTheme="majorHAnsi" w:eastAsia="Times New Roman" w:hAnsiTheme="majorHAnsi" w:cs="Times New Roman"/>
              <w:sz w:val="24"/>
              <w:szCs w:val="24"/>
              <w:lang w:val="en-US"/>
            </w:rPr>
            <w:id w:val="111145805"/>
            <w:bibliography/>
          </w:sdtPr>
          <w:sdtEndPr>
            <w:rPr>
              <w:rFonts w:eastAsiaTheme="minorHAnsi" w:cstheme="minorBidi"/>
              <w:sz w:val="22"/>
              <w:szCs w:val="22"/>
              <w:lang w:val="es-ES_tradnl"/>
            </w:rPr>
          </w:sdtEndPr>
          <w:sdtContent>
            <w:p w:rsidR="00212518" w:rsidRDefault="0001147F" w:rsidP="00212518">
              <w:pPr>
                <w:pStyle w:val="Bibliography"/>
                <w:rPr>
                  <w:noProof/>
                  <w:lang w:val="en-US"/>
                </w:rPr>
              </w:pPr>
              <w:r w:rsidRPr="0001147F">
                <w:rPr>
                  <w:rFonts w:asciiTheme="majorHAnsi" w:hAnsiTheme="majorHAnsi"/>
                  <w:sz w:val="24"/>
                </w:rPr>
                <w:fldChar w:fldCharType="begin"/>
              </w:r>
              <w:r w:rsidR="00FE6469" w:rsidRPr="003625D9">
                <w:rPr>
                  <w:rFonts w:asciiTheme="majorHAnsi" w:hAnsiTheme="majorHAnsi"/>
                  <w:sz w:val="24"/>
                  <w:lang w:val="en-US"/>
                </w:rPr>
                <w:instrText xml:space="preserve"> BIBLIOGRAPHY </w:instrText>
              </w:r>
              <w:r w:rsidRPr="0001147F">
                <w:rPr>
                  <w:rFonts w:asciiTheme="majorHAnsi" w:hAnsiTheme="majorHAnsi"/>
                  <w:sz w:val="24"/>
                </w:rPr>
                <w:fldChar w:fldCharType="separate"/>
              </w:r>
              <w:r w:rsidR="00212518">
                <w:rPr>
                  <w:noProof/>
                  <w:lang w:val="en-US"/>
                </w:rPr>
                <w:t xml:space="preserve">America's Choice. (2009, 10 14). </w:t>
              </w:r>
              <w:r w:rsidR="00212518">
                <w:rPr>
                  <w:i/>
                  <w:iCs/>
                  <w:noProof/>
                  <w:lang w:val="en-US"/>
                </w:rPr>
                <w:t>Ramp-Up to Algebra: California’s Algebra Readiness Solution.</w:t>
              </w:r>
              <w:r w:rsidR="00212518">
                <w:rPr>
                  <w:noProof/>
                  <w:lang w:val="en-US"/>
                </w:rPr>
                <w:t xml:space="preserve"> Retrieved 10 14, 2009, from NCEE: http://www.ncee.org/acsd/math/210a.jsp</w:t>
              </w:r>
            </w:p>
            <w:p w:rsidR="00212518" w:rsidRDefault="00212518" w:rsidP="00212518">
              <w:pPr>
                <w:pStyle w:val="Bibliography"/>
                <w:rPr>
                  <w:noProof/>
                  <w:lang w:val="en-US"/>
                </w:rPr>
              </w:pPr>
              <w:r>
                <w:rPr>
                  <w:noProof/>
                  <w:lang w:val="en-US"/>
                </w:rPr>
                <w:t xml:space="preserve">Balfanz, R., Legters, N., &amp; Jordan, W. (2004). Catching Up: Effect of the Talent Development Ninth-Grade Instructional Interventions in Reading and Mathematics inHigh-Poverty High Schools. </w:t>
              </w:r>
              <w:r>
                <w:rPr>
                  <w:i/>
                  <w:iCs/>
                  <w:noProof/>
                  <w:lang w:val="en-US"/>
                </w:rPr>
                <w:t>NASSP Bulletin</w:t>
              </w:r>
              <w:r>
                <w:rPr>
                  <w:noProof/>
                  <w:lang w:val="en-US"/>
                </w:rPr>
                <w:t xml:space="preserve"> .</w:t>
              </w:r>
            </w:p>
            <w:p w:rsidR="00212518" w:rsidRDefault="00212518" w:rsidP="00212518">
              <w:pPr>
                <w:pStyle w:val="Bibliography"/>
                <w:rPr>
                  <w:noProof/>
                  <w:lang w:val="en-US"/>
                </w:rPr>
              </w:pPr>
              <w:r>
                <w:rPr>
                  <w:noProof/>
                  <w:lang w:val="en-US"/>
                </w:rPr>
                <w:t xml:space="preserve">Committee for Economic Development. (2003). </w:t>
              </w:r>
              <w:r>
                <w:rPr>
                  <w:i/>
                  <w:iCs/>
                  <w:noProof/>
                  <w:lang w:val="en-US"/>
                </w:rPr>
                <w:t>Learning for the Future: Changing the Culture of Math and Science.</w:t>
              </w:r>
              <w:r>
                <w:rPr>
                  <w:noProof/>
                  <w:lang w:val="en-US"/>
                </w:rPr>
                <w:t xml:space="preserve"> New York, NY: Research and Policy Committee of the Committe for Economic Development.</w:t>
              </w:r>
            </w:p>
            <w:p w:rsidR="00212518" w:rsidRDefault="00212518" w:rsidP="00212518">
              <w:pPr>
                <w:pStyle w:val="Bibliography"/>
                <w:rPr>
                  <w:noProof/>
                  <w:lang w:val="en-US"/>
                </w:rPr>
              </w:pPr>
              <w:r>
                <w:rPr>
                  <w:i/>
                  <w:iCs/>
                  <w:noProof/>
                  <w:lang w:val="en-US"/>
                </w:rPr>
                <w:t>Common Core State Mathematics Standards for College and Work.</w:t>
              </w:r>
              <w:r>
                <w:rPr>
                  <w:noProof/>
                  <w:lang w:val="en-US"/>
                </w:rPr>
                <w:t xml:space="preserve"> (09, 07). Retrieved 10 16, 2009, from Corestandards.net: http://www.corestandards.net/Math/MathExamples.pdf</w:t>
              </w:r>
            </w:p>
            <w:p w:rsidR="00212518" w:rsidRDefault="00212518" w:rsidP="00212518">
              <w:pPr>
                <w:pStyle w:val="Bibliography"/>
                <w:rPr>
                  <w:noProof/>
                  <w:lang w:val="en-US"/>
                </w:rPr>
              </w:pPr>
              <w:r>
                <w:rPr>
                  <w:noProof/>
                  <w:lang w:val="en-US"/>
                </w:rPr>
                <w:t xml:space="preserve">DuFour, D. E. (2006). </w:t>
              </w:r>
              <w:r>
                <w:rPr>
                  <w:i/>
                  <w:iCs/>
                  <w:noProof/>
                  <w:lang w:val="en-US"/>
                </w:rPr>
                <w:t>Learning by Doing.</w:t>
              </w:r>
              <w:r>
                <w:rPr>
                  <w:noProof/>
                  <w:lang w:val="en-US"/>
                </w:rPr>
                <w:t xml:space="preserve"> Bloomington, IN: Solution Tree.</w:t>
              </w:r>
            </w:p>
            <w:p w:rsidR="00212518" w:rsidRDefault="00212518" w:rsidP="00212518">
              <w:pPr>
                <w:pStyle w:val="Bibliography"/>
                <w:rPr>
                  <w:noProof/>
                  <w:lang w:val="en-US"/>
                </w:rPr>
              </w:pPr>
              <w:r>
                <w:rPr>
                  <w:noProof/>
                  <w:lang w:val="en-US"/>
                </w:rPr>
                <w:t xml:space="preserve">Eduards, T., Khan, S., &amp; Brenton, L. (2001). Math Corps Summer Camp: An Inner City Intervention Program. </w:t>
              </w:r>
              <w:r>
                <w:rPr>
                  <w:i/>
                  <w:iCs/>
                  <w:noProof/>
                  <w:lang w:val="en-US"/>
                </w:rPr>
                <w:t>Journal of Education for Students Placed at Risk</w:t>
              </w:r>
              <w:r>
                <w:rPr>
                  <w:noProof/>
                  <w:lang w:val="en-US"/>
                </w:rPr>
                <w:t xml:space="preserve"> .</w:t>
              </w:r>
            </w:p>
            <w:p w:rsidR="00212518" w:rsidRDefault="00212518" w:rsidP="00212518">
              <w:pPr>
                <w:pStyle w:val="Bibliography"/>
                <w:rPr>
                  <w:noProof/>
                  <w:lang w:val="en-US"/>
                </w:rPr>
              </w:pPr>
              <w:r>
                <w:rPr>
                  <w:noProof/>
                  <w:lang w:val="en-US"/>
                </w:rPr>
                <w:t xml:space="preserve">Golden, N., &amp; Gall, J. P. (2000). </w:t>
              </w:r>
              <w:r>
                <w:rPr>
                  <w:i/>
                  <w:iCs/>
                  <w:noProof/>
                  <w:lang w:val="en-US"/>
                </w:rPr>
                <w:t>The Complete Toolkit for Building High-Performance Work Teams.</w:t>
              </w:r>
              <w:r>
                <w:rPr>
                  <w:noProof/>
                  <w:lang w:val="en-US"/>
                </w:rPr>
                <w:t xml:space="preserve"> Oregon: ERIC Clearinghouse on Educational Management.</w:t>
              </w:r>
            </w:p>
            <w:p w:rsidR="00212518" w:rsidRDefault="00212518" w:rsidP="00212518">
              <w:pPr>
                <w:pStyle w:val="Bibliography"/>
                <w:rPr>
                  <w:noProof/>
                  <w:lang w:val="en-US"/>
                </w:rPr>
              </w:pPr>
              <w:r>
                <w:rPr>
                  <w:noProof/>
                  <w:lang w:val="en-US"/>
                </w:rPr>
                <w:t xml:space="preserve">Google, Inc. (n.d.). </w:t>
              </w:r>
              <w:r>
                <w:rPr>
                  <w:i/>
                  <w:iCs/>
                  <w:noProof/>
                  <w:lang w:val="en-US"/>
                </w:rPr>
                <w:t>Google Docs Beta.</w:t>
              </w:r>
              <w:r>
                <w:rPr>
                  <w:noProof/>
                  <w:lang w:val="en-US"/>
                </w:rPr>
                <w:t xml:space="preserve"> Retrieved 10 14, 09, from Google: www.google.com</w:t>
              </w:r>
            </w:p>
            <w:p w:rsidR="00212518" w:rsidRDefault="00212518" w:rsidP="00212518">
              <w:pPr>
                <w:pStyle w:val="Bibliography"/>
                <w:rPr>
                  <w:noProof/>
                  <w:lang w:val="en-US"/>
                </w:rPr>
              </w:pPr>
              <w:r w:rsidRPr="002A1348">
                <w:rPr>
                  <w:noProof/>
                </w:rPr>
                <w:t xml:space="preserve">Grigg, W., Donahue, P., &amp; Dion, G. (2005). </w:t>
              </w:r>
              <w:r>
                <w:rPr>
                  <w:i/>
                  <w:iCs/>
                  <w:noProof/>
                  <w:lang w:val="en-US"/>
                </w:rPr>
                <w:t>The Nation's Report Card: 12th-Grade Reading and Mathematics 2005.</w:t>
              </w:r>
              <w:r>
                <w:rPr>
                  <w:noProof/>
                  <w:lang w:val="en-US"/>
                </w:rPr>
                <w:t xml:space="preserve"> Washington, D.C.: National Center for Educational Statistics.</w:t>
              </w:r>
            </w:p>
            <w:p w:rsidR="00212518" w:rsidRDefault="00212518" w:rsidP="00212518">
              <w:pPr>
                <w:pStyle w:val="Bibliography"/>
                <w:rPr>
                  <w:noProof/>
                  <w:lang w:val="en-US"/>
                </w:rPr>
              </w:pPr>
              <w:r>
                <w:rPr>
                  <w:noProof/>
                  <w:lang w:val="en-US"/>
                </w:rPr>
                <w:t xml:space="preserve">Harmony Educatioin Center. (06, 09 13). </w:t>
              </w:r>
              <w:r>
                <w:rPr>
                  <w:i/>
                  <w:iCs/>
                  <w:noProof/>
                  <w:lang w:val="en-US"/>
                </w:rPr>
                <w:t>The Tuning Protocol: Tuning a Plan.</w:t>
              </w:r>
              <w:r>
                <w:rPr>
                  <w:noProof/>
                  <w:lang w:val="en-US"/>
                </w:rPr>
                <w:t xml:space="preserve"> Retrieved 10 16, 09, from Harmoy Education Center - National School Reform Faculty: http://www.nsrfharmony.org/protocol/doc/tuning_plan.pdf</w:t>
              </w:r>
            </w:p>
            <w:p w:rsidR="00212518" w:rsidRDefault="00212518" w:rsidP="00212518">
              <w:pPr>
                <w:pStyle w:val="Bibliography"/>
                <w:rPr>
                  <w:noProof/>
                  <w:lang w:val="en-US"/>
                </w:rPr>
              </w:pPr>
              <w:r>
                <w:rPr>
                  <w:noProof/>
                  <w:lang w:val="en-US"/>
                </w:rPr>
                <w:t xml:space="preserve">Hope High School. (2009). </w:t>
              </w:r>
              <w:r>
                <w:rPr>
                  <w:i/>
                  <w:iCs/>
                  <w:noProof/>
                  <w:lang w:val="en-US"/>
                </w:rPr>
                <w:t>School Improvement Plan.</w:t>
              </w:r>
              <w:r>
                <w:rPr>
                  <w:noProof/>
                  <w:lang w:val="en-US"/>
                </w:rPr>
                <w:t xml:space="preserve"> Providence: Hope High School.</w:t>
              </w:r>
            </w:p>
            <w:p w:rsidR="00212518" w:rsidRDefault="00212518" w:rsidP="00212518">
              <w:pPr>
                <w:pStyle w:val="Bibliography"/>
                <w:rPr>
                  <w:noProof/>
                  <w:lang w:val="en-US"/>
                </w:rPr>
              </w:pPr>
              <w:r>
                <w:rPr>
                  <w:noProof/>
                  <w:lang w:val="en-US"/>
                </w:rPr>
                <w:t xml:space="preserve">Information Works! (2009). </w:t>
              </w:r>
              <w:r>
                <w:rPr>
                  <w:i/>
                  <w:iCs/>
                  <w:noProof/>
                  <w:lang w:val="en-US"/>
                </w:rPr>
                <w:t>Measuring Rhode Island Schools for Change: Rhode Island State Report Card.</w:t>
              </w:r>
              <w:r>
                <w:rPr>
                  <w:noProof/>
                  <w:lang w:val="en-US"/>
                </w:rPr>
                <w:t xml:space="preserve"> Providence.</w:t>
              </w:r>
            </w:p>
            <w:p w:rsidR="00212518" w:rsidRDefault="00212518" w:rsidP="00212518">
              <w:pPr>
                <w:pStyle w:val="Bibliography"/>
                <w:rPr>
                  <w:noProof/>
                  <w:lang w:val="en-US"/>
                </w:rPr>
              </w:pPr>
              <w:r>
                <w:rPr>
                  <w:noProof/>
                  <w:lang w:val="en-US"/>
                </w:rPr>
                <w:t xml:space="preserve">Kortering, L. J., de Bettencourt, L. U., &amp; Brazil, P. M. (2005). Improving Performance in High School Algebra: What Students with Learning Disabilities are Saying. </w:t>
              </w:r>
              <w:r>
                <w:rPr>
                  <w:i/>
                  <w:iCs/>
                  <w:noProof/>
                  <w:lang w:val="en-US"/>
                </w:rPr>
                <w:t>Learning Disability Quarterly</w:t>
              </w:r>
              <w:r>
                <w:rPr>
                  <w:noProof/>
                  <w:lang w:val="en-US"/>
                </w:rPr>
                <w:t xml:space="preserve"> </w:t>
              </w:r>
              <w:r>
                <w:rPr>
                  <w:i/>
                  <w:iCs/>
                  <w:noProof/>
                  <w:lang w:val="en-US"/>
                </w:rPr>
                <w:t>, 28</w:t>
              </w:r>
              <w:r>
                <w:rPr>
                  <w:noProof/>
                  <w:lang w:val="en-US"/>
                </w:rPr>
                <w:t xml:space="preserve"> (3), 191-203.</w:t>
              </w:r>
            </w:p>
            <w:p w:rsidR="00212518" w:rsidRDefault="00212518" w:rsidP="00212518">
              <w:pPr>
                <w:pStyle w:val="Bibliography"/>
                <w:rPr>
                  <w:noProof/>
                  <w:lang w:val="en-US"/>
                </w:rPr>
              </w:pPr>
              <w:r>
                <w:rPr>
                  <w:noProof/>
                  <w:lang w:val="en-US"/>
                </w:rPr>
                <w:lastRenderedPageBreak/>
                <w:t xml:space="preserve">Martin-Kneip. (2008). Communities that learn, lead, and last. </w:t>
              </w:r>
              <w:r>
                <w:rPr>
                  <w:i/>
                  <w:iCs/>
                  <w:noProof/>
                  <w:lang w:val="en-US"/>
                </w:rPr>
                <w:t>Southern Regional Education Board.</w:t>
              </w:r>
              <w:r>
                <w:rPr>
                  <w:noProof/>
                  <w:lang w:val="en-US"/>
                </w:rPr>
                <w:t xml:space="preserve"> San Francisco: Jossey-Bass.</w:t>
              </w:r>
            </w:p>
            <w:p w:rsidR="00212518" w:rsidRDefault="00212518" w:rsidP="00212518">
              <w:pPr>
                <w:pStyle w:val="Bibliography"/>
                <w:rPr>
                  <w:noProof/>
                  <w:lang w:val="en-US"/>
                </w:rPr>
              </w:pPr>
              <w:r>
                <w:rPr>
                  <w:noProof/>
                  <w:lang w:val="en-US"/>
                </w:rPr>
                <w:t xml:space="preserve">McPartland, J., Alta, S., &amp; Balfanz, R. (2002). </w:t>
              </w:r>
              <w:r>
                <w:rPr>
                  <w:i/>
                  <w:iCs/>
                  <w:noProof/>
                  <w:lang w:val="en-US"/>
                </w:rPr>
                <w:t>Re-conceptualizing Extra Help for High School Students in a High Standards Era.</w:t>
              </w:r>
              <w:r>
                <w:rPr>
                  <w:noProof/>
                  <w:lang w:val="en-US"/>
                </w:rPr>
                <w:t xml:space="preserve"> Washington: Center for Social Organization of Schools.</w:t>
              </w:r>
            </w:p>
            <w:p w:rsidR="00212518" w:rsidRDefault="00212518" w:rsidP="00212518">
              <w:pPr>
                <w:pStyle w:val="Bibliography"/>
                <w:rPr>
                  <w:noProof/>
                  <w:lang w:val="en-US"/>
                </w:rPr>
              </w:pPr>
              <w:r>
                <w:rPr>
                  <w:noProof/>
                  <w:lang w:val="en-US"/>
                </w:rPr>
                <w:t xml:space="preserve">Nancy Golden; Joyce P. Gall. (2000). </w:t>
              </w:r>
              <w:r>
                <w:rPr>
                  <w:i/>
                  <w:iCs/>
                  <w:noProof/>
                  <w:lang w:val="en-US"/>
                </w:rPr>
                <w:t>The Complete Toolkit for Building High-Performance Work Teams.</w:t>
              </w:r>
              <w:r>
                <w:rPr>
                  <w:noProof/>
                  <w:lang w:val="en-US"/>
                </w:rPr>
                <w:t xml:space="preserve"> Eugene, OR: ERIC Clearinghouse on Educational Management.</w:t>
              </w:r>
            </w:p>
            <w:p w:rsidR="00212518" w:rsidRDefault="00212518" w:rsidP="00212518">
              <w:pPr>
                <w:pStyle w:val="Bibliography"/>
                <w:rPr>
                  <w:noProof/>
                  <w:lang w:val="en-US"/>
                </w:rPr>
              </w:pPr>
              <w:r>
                <w:rPr>
                  <w:noProof/>
                  <w:lang w:val="en-US"/>
                </w:rPr>
                <w:t xml:space="preserve">National Center for Educational Statistics. (2003). </w:t>
              </w:r>
              <w:r>
                <w:rPr>
                  <w:i/>
                  <w:iCs/>
                  <w:noProof/>
                  <w:lang w:val="en-US"/>
                </w:rPr>
                <w:t>Academic Pathways, Preparation, and Performance. A Descriptive Overview of the Transcripts from the High School Graduating Class of 2003-04.</w:t>
              </w:r>
              <w:r>
                <w:rPr>
                  <w:noProof/>
                  <w:lang w:val="en-US"/>
                </w:rPr>
                <w:t xml:space="preserve"> Washington: U.S. Department of Education Center Institute for Educational Sciences.</w:t>
              </w:r>
            </w:p>
            <w:p w:rsidR="00212518" w:rsidRDefault="00212518" w:rsidP="00212518">
              <w:pPr>
                <w:pStyle w:val="Bibliography"/>
                <w:rPr>
                  <w:noProof/>
                  <w:lang w:val="en-US"/>
                </w:rPr>
              </w:pPr>
              <w:r>
                <w:rPr>
                  <w:noProof/>
                  <w:lang w:val="en-US"/>
                </w:rPr>
                <w:t xml:space="preserve">National Center for Educational Statistics. (2008). </w:t>
              </w:r>
              <w:r>
                <w:rPr>
                  <w:i/>
                  <w:iCs/>
                  <w:noProof/>
                  <w:lang w:val="en-US"/>
                </w:rPr>
                <w:t>Highlights From TIMSS 2007: Mathematics and Science Achievement of U.S. Fourthand.</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Center for Educational Statistics. (2007). </w:t>
              </w:r>
              <w:r>
                <w:rPr>
                  <w:i/>
                  <w:iCs/>
                  <w:noProof/>
                  <w:lang w:val="en-US"/>
                </w:rPr>
                <w:t>The Nation's Report Card: Mathematics 2007 State Snapshot Report.</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Science Board. (2006). </w:t>
              </w:r>
              <w:r>
                <w:rPr>
                  <w:i/>
                  <w:iCs/>
                  <w:noProof/>
                  <w:lang w:val="en-US"/>
                </w:rPr>
                <w:t>Science and Engineering Indicators.</w:t>
              </w:r>
              <w:r>
                <w:rPr>
                  <w:noProof/>
                  <w:lang w:val="en-US"/>
                </w:rPr>
                <w:t xml:space="preserve"> Retrieved July 15, 2009, from National Science Foundation: http://www.nsf.gov/statistics/seind06/c1/c1h.htm</w:t>
              </w:r>
            </w:p>
            <w:p w:rsidR="00212518" w:rsidRDefault="00212518" w:rsidP="00212518">
              <w:pPr>
                <w:pStyle w:val="Bibliography"/>
                <w:rPr>
                  <w:noProof/>
                  <w:lang w:val="en-US"/>
                </w:rPr>
              </w:pPr>
              <w:r>
                <w:rPr>
                  <w:noProof/>
                  <w:lang w:val="en-US"/>
                </w:rPr>
                <w:t xml:space="preserve">NCLB. (2002). </w:t>
              </w:r>
              <w:r>
                <w:rPr>
                  <w:i/>
                  <w:iCs/>
                  <w:noProof/>
                  <w:lang w:val="en-US"/>
                </w:rPr>
                <w:t>No Child Left Behind Act of 2001</w:t>
              </w:r>
              <w:r>
                <w:rPr>
                  <w:noProof/>
                  <w:lang w:val="en-US"/>
                </w:rPr>
                <w:t xml:space="preserve"> (Vol. 20 USC 6301). Washington, D.C.: 107 U.S. Congress.</w:t>
              </w:r>
            </w:p>
            <w:p w:rsidR="00212518" w:rsidRDefault="00212518" w:rsidP="00212518">
              <w:pPr>
                <w:pStyle w:val="Bibliography"/>
                <w:rPr>
                  <w:noProof/>
                  <w:lang w:val="en-US"/>
                </w:rPr>
              </w:pPr>
              <w:r>
                <w:rPr>
                  <w:noProof/>
                  <w:lang w:val="en-US"/>
                </w:rPr>
                <w:t xml:space="preserve">Neild, R. C., Stoner-Eby, S., &amp; Furstenburg, F. (2008). Connecting Entrance and Departure: The Transition to Ninth Grade and High School Drop Out. </w:t>
              </w:r>
              <w:r>
                <w:rPr>
                  <w:i/>
                  <w:iCs/>
                  <w:noProof/>
                  <w:lang w:val="en-US"/>
                </w:rPr>
                <w:t>Education and Urban Society</w:t>
              </w:r>
              <w:r>
                <w:rPr>
                  <w:noProof/>
                  <w:lang w:val="en-US"/>
                </w:rPr>
                <w:t xml:space="preserve"> .</w:t>
              </w:r>
            </w:p>
            <w:p w:rsidR="00212518" w:rsidRDefault="00212518" w:rsidP="00212518">
              <w:pPr>
                <w:pStyle w:val="Bibliography"/>
                <w:rPr>
                  <w:noProof/>
                  <w:lang w:val="en-US"/>
                </w:rPr>
              </w:pPr>
              <w:r>
                <w:rPr>
                  <w:noProof/>
                  <w:lang w:val="en-US"/>
                </w:rPr>
                <w:t xml:space="preserve">NSF National Science Board. (2006). </w:t>
              </w:r>
              <w:r>
                <w:rPr>
                  <w:i/>
                  <w:iCs/>
                  <w:noProof/>
                  <w:lang w:val="en-US"/>
                </w:rPr>
                <w:t>Science and Engineering Indicators 2006.</w:t>
              </w:r>
              <w:r>
                <w:rPr>
                  <w:noProof/>
                  <w:lang w:val="en-US"/>
                </w:rPr>
                <w:t xml:space="preserve"> NSF National Science Board.</w:t>
              </w:r>
            </w:p>
            <w:p w:rsidR="00212518" w:rsidRDefault="00212518" w:rsidP="00212518">
              <w:pPr>
                <w:pStyle w:val="Bibliography"/>
                <w:rPr>
                  <w:noProof/>
                  <w:lang w:val="en-US"/>
                </w:rPr>
              </w:pPr>
              <w:r>
                <w:rPr>
                  <w:noProof/>
                  <w:lang w:val="en-US"/>
                </w:rPr>
                <w:t xml:space="preserve">Providence School Board. (2007). Seek Convene to Executive Session.... </w:t>
              </w:r>
              <w:r>
                <w:rPr>
                  <w:i/>
                  <w:iCs/>
                  <w:noProof/>
                  <w:lang w:val="en-US"/>
                </w:rPr>
                <w:t>School Board Session</w:t>
              </w:r>
              <w:r>
                <w:rPr>
                  <w:noProof/>
                  <w:lang w:val="en-US"/>
                </w:rPr>
                <w:t xml:space="preserve"> (p. 3 of 15). Providence: Providence School District.</w:t>
              </w:r>
            </w:p>
            <w:p w:rsidR="00212518" w:rsidRDefault="00212518" w:rsidP="00212518">
              <w:pPr>
                <w:pStyle w:val="Bibliography"/>
                <w:rPr>
                  <w:noProof/>
                  <w:lang w:val="en-US"/>
                </w:rPr>
              </w:pPr>
              <w:r>
                <w:rPr>
                  <w:noProof/>
                  <w:lang w:val="en-US"/>
                </w:rPr>
                <w:t xml:space="preserve">Providence School District. (2009). </w:t>
              </w:r>
              <w:r>
                <w:rPr>
                  <w:i/>
                  <w:iCs/>
                  <w:noProof/>
                  <w:lang w:val="en-US"/>
                </w:rPr>
                <w:t>2009-2010 Proposed Budget.</w:t>
              </w:r>
              <w:r>
                <w:rPr>
                  <w:noProof/>
                  <w:lang w:val="en-US"/>
                </w:rPr>
                <w:t xml:space="preserve"> Providence: Providence School District.</w:t>
              </w:r>
            </w:p>
            <w:p w:rsidR="00212518" w:rsidRDefault="00212518" w:rsidP="00212518">
              <w:pPr>
                <w:pStyle w:val="Bibliography"/>
                <w:rPr>
                  <w:noProof/>
                  <w:lang w:val="en-US"/>
                </w:rPr>
              </w:pPr>
              <w:r>
                <w:rPr>
                  <w:noProof/>
                  <w:lang w:val="en-US"/>
                </w:rPr>
                <w:t xml:space="preserve">Rhode Island Board of Regents. (2008). </w:t>
              </w:r>
              <w:r>
                <w:rPr>
                  <w:i/>
                  <w:iCs/>
                  <w:noProof/>
                  <w:lang w:val="en-US"/>
                </w:rPr>
                <w:t>K-12 LITERACY, RESTRUCTURING OF THE LEARNING ENVIRONMENT AT THE MIDDLE AND HIGH SCHOOL LEVELS, AND PROFICIENCY BASED GRADUATION REQUIREMENTS (PBGR) AT HIGH SCHOOLS.</w:t>
              </w:r>
              <w:r>
                <w:rPr>
                  <w:noProof/>
                  <w:lang w:val="en-US"/>
                </w:rPr>
                <w:t xml:space="preserve"> Providence: Rhode Island Department of Education.</w:t>
              </w:r>
            </w:p>
            <w:p w:rsidR="00212518" w:rsidRDefault="00212518" w:rsidP="00212518">
              <w:pPr>
                <w:pStyle w:val="Bibliography"/>
                <w:rPr>
                  <w:noProof/>
                  <w:lang w:val="en-US"/>
                </w:rPr>
              </w:pPr>
              <w:r>
                <w:rPr>
                  <w:noProof/>
                  <w:lang w:val="en-US"/>
                </w:rPr>
                <w:t xml:space="preserve">Rhode Island Department of Education. (2004). </w:t>
              </w:r>
              <w:r>
                <w:rPr>
                  <w:i/>
                  <w:iCs/>
                  <w:noProof/>
                  <w:lang w:val="en-US"/>
                </w:rPr>
                <w:t>Decision and Order of Reconstitution.</w:t>
              </w:r>
              <w:r>
                <w:rPr>
                  <w:noProof/>
                  <w:lang w:val="en-US"/>
                </w:rPr>
                <w:t xml:space="preserve"> Providence: RIDE.</w:t>
              </w:r>
            </w:p>
            <w:p w:rsidR="00212518" w:rsidRDefault="00212518" w:rsidP="00212518">
              <w:pPr>
                <w:pStyle w:val="Bibliography"/>
                <w:rPr>
                  <w:noProof/>
                  <w:lang w:val="en-US"/>
                </w:rPr>
              </w:pPr>
              <w:r>
                <w:rPr>
                  <w:noProof/>
                  <w:lang w:val="en-US"/>
                </w:rPr>
                <w:t xml:space="preserve">Rhode Island Department of Education. (2007, Aug 7). </w:t>
              </w:r>
              <w:r>
                <w:rPr>
                  <w:i/>
                  <w:iCs/>
                  <w:noProof/>
                  <w:lang w:val="en-US"/>
                </w:rPr>
                <w:t>Math GSEs.</w:t>
              </w:r>
              <w:r>
                <w:rPr>
                  <w:noProof/>
                  <w:lang w:val="en-US"/>
                </w:rPr>
                <w:t xml:space="preserve"> Retrieved July 14, 2009, from RIDE: www.ride.ri.gov/Instruction/gle.aspx#math</w:t>
              </w:r>
            </w:p>
            <w:p w:rsidR="00212518" w:rsidRDefault="00212518" w:rsidP="00212518">
              <w:pPr>
                <w:pStyle w:val="Bibliography"/>
                <w:rPr>
                  <w:noProof/>
                  <w:lang w:val="en-US"/>
                </w:rPr>
              </w:pPr>
              <w:r>
                <w:rPr>
                  <w:noProof/>
                  <w:lang w:val="en-US"/>
                </w:rPr>
                <w:t xml:space="preserve">Rhode Island Department of Education. (2008, October 1). </w:t>
              </w:r>
              <w:r>
                <w:rPr>
                  <w:i/>
                  <w:iCs/>
                  <w:noProof/>
                  <w:lang w:val="en-US"/>
                </w:rPr>
                <w:t>New England Common Assessment Program.</w:t>
              </w:r>
              <w:r>
                <w:rPr>
                  <w:noProof/>
                  <w:lang w:val="en-US"/>
                </w:rPr>
                <w:t xml:space="preserve"> Retrieved July 10, 2009, from RIDE: http://www.eride.ri.gov/reportcard/09/prof_reports/28/DisSuTest2800.pdf</w:t>
              </w:r>
            </w:p>
            <w:p w:rsidR="00212518" w:rsidRDefault="00212518" w:rsidP="00212518">
              <w:pPr>
                <w:pStyle w:val="Bibliography"/>
                <w:rPr>
                  <w:noProof/>
                  <w:lang w:val="en-US"/>
                </w:rPr>
              </w:pPr>
              <w:r>
                <w:rPr>
                  <w:noProof/>
                  <w:lang w:val="en-US"/>
                </w:rPr>
                <w:lastRenderedPageBreak/>
                <w:t xml:space="preserve">Rhode Island Department of Education. (2004, February 2). </w:t>
              </w:r>
              <w:r>
                <w:rPr>
                  <w:i/>
                  <w:iCs/>
                  <w:noProof/>
                  <w:lang w:val="en-US"/>
                </w:rPr>
                <w:t>Support and Intervention: RIDE.</w:t>
              </w:r>
              <w:r>
                <w:rPr>
                  <w:noProof/>
                  <w:lang w:val="en-US"/>
                </w:rPr>
                <w:t xml:space="preserve"> Retrieved July 5, 2009, from Rhode Island Department of Education Web site: www.ride.ri.gov/PSI/SupportIntervention/interventiondistricts</w:t>
              </w:r>
            </w:p>
            <w:p w:rsidR="00212518" w:rsidRDefault="00212518" w:rsidP="00212518">
              <w:pPr>
                <w:pStyle w:val="Bibliography"/>
                <w:rPr>
                  <w:noProof/>
                  <w:lang w:val="en-US"/>
                </w:rPr>
              </w:pPr>
              <w:r>
                <w:rPr>
                  <w:noProof/>
                  <w:lang w:val="en-US"/>
                </w:rPr>
                <w:t xml:space="preserve">RIDE. (2008). </w:t>
              </w:r>
              <w:r>
                <w:rPr>
                  <w:i/>
                  <w:iCs/>
                  <w:noProof/>
                  <w:lang w:val="en-US"/>
                </w:rPr>
                <w:t>NECAP Assessment Results.</w:t>
              </w:r>
              <w:r>
                <w:rPr>
                  <w:noProof/>
                  <w:lang w:val="en-US"/>
                </w:rPr>
                <w:t xml:space="preserve"> Retrieved from ride.ri.gov: http://www.ride.ri.gov/Assessment/Results.aspx</w:t>
              </w:r>
            </w:p>
            <w:p w:rsidR="00212518" w:rsidRDefault="00212518" w:rsidP="00212518">
              <w:pPr>
                <w:pStyle w:val="Bibliography"/>
                <w:rPr>
                  <w:noProof/>
                  <w:lang w:val="en-US"/>
                </w:rPr>
              </w:pPr>
              <w:r>
                <w:rPr>
                  <w:noProof/>
                  <w:lang w:val="en-US"/>
                </w:rPr>
                <w:t xml:space="preserve">RIDE-NECAP. (2005, 5 18). </w:t>
              </w:r>
              <w:r>
                <w:rPr>
                  <w:i/>
                  <w:iCs/>
                  <w:noProof/>
                  <w:lang w:val="en-US"/>
                </w:rPr>
                <w:t>RIDE Office of Assessment and Accoutability New England Common Assessment Program (NECAP).</w:t>
              </w:r>
              <w:r>
                <w:rPr>
                  <w:noProof/>
                  <w:lang w:val="en-US"/>
                </w:rPr>
                <w:t xml:space="preserve"> Retrieved 10 15, 2009, from the Rhode Island Department of Education: http://www.ride.ri.gov/assessment/necap.aspx</w:t>
              </w:r>
            </w:p>
            <w:p w:rsidR="00212518" w:rsidRDefault="00212518" w:rsidP="00212518">
              <w:pPr>
                <w:pStyle w:val="Bibliography"/>
                <w:rPr>
                  <w:noProof/>
                  <w:lang w:val="en-US"/>
                </w:rPr>
              </w:pPr>
              <w:r>
                <w:rPr>
                  <w:noProof/>
                  <w:lang w:val="en-US"/>
                </w:rPr>
                <w:t xml:space="preserve">RISD. (n.d.). </w:t>
              </w:r>
              <w:r>
                <w:rPr>
                  <w:i/>
                  <w:iCs/>
                  <w:noProof/>
                  <w:lang w:val="en-US"/>
                </w:rPr>
                <w:t>Faculty Projects: Dr. Sproll</w:t>
              </w:r>
              <w:r>
                <w:rPr>
                  <w:noProof/>
                  <w:lang w:val="en-US"/>
                </w:rPr>
                <w:t>. Retrieved 2009, from Rhode Island School of Design: http://www.risd.edu/faculty_projects_sproll.htm</w:t>
              </w:r>
            </w:p>
            <w:p w:rsidR="00212518" w:rsidRDefault="00212518" w:rsidP="00212518">
              <w:pPr>
                <w:pStyle w:val="Bibliography"/>
                <w:rPr>
                  <w:noProof/>
                  <w:lang w:val="en-US"/>
                </w:rPr>
              </w:pPr>
              <w:r>
                <w:rPr>
                  <w:noProof/>
                  <w:lang w:val="en-US"/>
                </w:rPr>
                <w:t xml:space="preserve">Southern Regional Education Board. (2009). Assessing Academic Rigor to Ensure Grade-Level Proficiency and College Readiness: Participants Guide. </w:t>
              </w:r>
              <w:r>
                <w:rPr>
                  <w:i/>
                  <w:iCs/>
                  <w:noProof/>
                  <w:lang w:val="en-US"/>
                </w:rPr>
                <w:t>Assessing Academic Rigor and College Readiness.</w:t>
              </w:r>
              <w:r>
                <w:rPr>
                  <w:noProof/>
                  <w:lang w:val="en-US"/>
                </w:rPr>
                <w:t xml:space="preserve"> The Wallace Foundation.</w:t>
              </w:r>
            </w:p>
            <w:p w:rsidR="00212518" w:rsidRDefault="00212518" w:rsidP="00212518">
              <w:pPr>
                <w:pStyle w:val="Bibliography"/>
                <w:rPr>
                  <w:noProof/>
                  <w:lang w:val="en-US"/>
                </w:rPr>
              </w:pPr>
              <w:r>
                <w:rPr>
                  <w:noProof/>
                  <w:lang w:val="en-US"/>
                </w:rPr>
                <w:t xml:space="preserve">Southern Regional Education Board. (2009). Participant's Guide. </w:t>
              </w:r>
              <w:r>
                <w:rPr>
                  <w:i/>
                  <w:iCs/>
                  <w:noProof/>
                  <w:lang w:val="en-US"/>
                </w:rPr>
                <w:t>Building Instructional Leadership Teams That Make a Difference.</w:t>
              </w:r>
              <w:r>
                <w:rPr>
                  <w:noProof/>
                  <w:lang w:val="en-US"/>
                </w:rPr>
                <w:t xml:space="preserve"> Providence.</w:t>
              </w:r>
            </w:p>
            <w:p w:rsidR="00212518" w:rsidRDefault="00212518" w:rsidP="00212518">
              <w:pPr>
                <w:pStyle w:val="Bibliography"/>
                <w:rPr>
                  <w:noProof/>
                  <w:lang w:val="en-US"/>
                </w:rPr>
              </w:pPr>
              <w:r>
                <w:rPr>
                  <w:noProof/>
                  <w:lang w:val="en-US"/>
                </w:rPr>
                <w:t xml:space="preserve">Spielhagen, F. R. (2006). Closing the Achievement Gap in Math: The Long-Term Effects of Eight-Grade Algebra. </w:t>
              </w:r>
              <w:r>
                <w:rPr>
                  <w:i/>
                  <w:iCs/>
                  <w:noProof/>
                  <w:lang w:val="en-US"/>
                </w:rPr>
                <w:t>Journal of Advanced Academics</w:t>
              </w:r>
              <w:r>
                <w:rPr>
                  <w:noProof/>
                  <w:lang w:val="en-US"/>
                </w:rPr>
                <w:t xml:space="preserve"> </w:t>
              </w:r>
              <w:r>
                <w:rPr>
                  <w:i/>
                  <w:iCs/>
                  <w:noProof/>
                  <w:lang w:val="en-US"/>
                </w:rPr>
                <w:t>, 18</w:t>
              </w:r>
              <w:r>
                <w:rPr>
                  <w:noProof/>
                  <w:lang w:val="en-US"/>
                </w:rPr>
                <w:t xml:space="preserve"> (1), 34-59.</w:t>
              </w:r>
            </w:p>
            <w:p w:rsidR="00FE6469" w:rsidRPr="0044235A" w:rsidRDefault="00212518" w:rsidP="00212518">
              <w:pPr>
                <w:pStyle w:val="Bibliography"/>
                <w:rPr>
                  <w:noProof/>
                  <w:lang w:val="en-US"/>
                </w:rPr>
              </w:pPr>
              <w:r>
                <w:rPr>
                  <w:noProof/>
                  <w:lang w:val="en-US"/>
                </w:rPr>
                <w:t xml:space="preserve">Supon, V. (2008). High-Stakes Testing: Strategies by Teachers and Principals for Student Success. </w:t>
              </w:r>
              <w:r>
                <w:rPr>
                  <w:i/>
                  <w:iCs/>
                  <w:noProof/>
                  <w:lang w:val="en-US"/>
                </w:rPr>
                <w:t>Journal of Instructional Psychology</w:t>
              </w:r>
              <w:r>
                <w:rPr>
                  <w:noProof/>
                  <w:lang w:val="en-US"/>
                </w:rPr>
                <w:t xml:space="preserve"> , 306-308.</w:t>
              </w:r>
              <w:r w:rsidR="0001147F" w:rsidRPr="003625D9">
                <w:rPr>
                  <w:rFonts w:asciiTheme="majorHAnsi" w:hAnsiTheme="majorHAnsi"/>
                </w:rPr>
                <w:fldChar w:fldCharType="end"/>
              </w:r>
            </w:p>
          </w:sdtContent>
        </w:sdt>
      </w:sdtContent>
    </w:sdt>
    <w:p w:rsidR="004A0B52" w:rsidRPr="003625D9" w:rsidRDefault="004A0B52" w:rsidP="007269E9">
      <w:pPr>
        <w:spacing w:line="480" w:lineRule="auto"/>
        <w:ind w:firstLine="706"/>
        <w:rPr>
          <w:rFonts w:asciiTheme="majorHAnsi" w:hAnsiTheme="majorHAnsi"/>
          <w:color w:val="231F20"/>
        </w:rPr>
      </w:pPr>
    </w:p>
    <w:p w:rsidR="004A0B52" w:rsidRPr="003625D9" w:rsidRDefault="004A0B52" w:rsidP="007269E9">
      <w:pPr>
        <w:spacing w:line="480" w:lineRule="auto"/>
        <w:ind w:firstLine="706"/>
        <w:rPr>
          <w:rFonts w:asciiTheme="majorHAnsi" w:eastAsiaTheme="minorHAnsi" w:hAnsiTheme="majorHAnsi" w:cs="BodoniLTStd"/>
          <w:szCs w:val="22"/>
        </w:rPr>
      </w:pPr>
    </w:p>
    <w:p w:rsidR="003A0747" w:rsidRPr="003625D9" w:rsidRDefault="003A0747" w:rsidP="007269E9">
      <w:pPr>
        <w:spacing w:line="480" w:lineRule="auto"/>
        <w:ind w:firstLine="706"/>
        <w:rPr>
          <w:rFonts w:asciiTheme="majorHAnsi" w:eastAsiaTheme="minorHAnsi" w:hAnsiTheme="majorHAnsi" w:cs="BodoniLTStd"/>
          <w:szCs w:val="22"/>
        </w:rPr>
      </w:pPr>
    </w:p>
    <w:p w:rsidR="00FD488A" w:rsidRPr="003625D9" w:rsidRDefault="00FD488A" w:rsidP="007269E9">
      <w:pPr>
        <w:spacing w:line="480" w:lineRule="auto"/>
        <w:ind w:firstLine="706"/>
        <w:rPr>
          <w:rFonts w:asciiTheme="majorHAnsi" w:eastAsiaTheme="minorHAnsi" w:hAnsiTheme="majorHAnsi" w:cs="BodoniLTStd"/>
          <w:szCs w:val="22"/>
        </w:rPr>
      </w:pPr>
    </w:p>
    <w:p w:rsidR="00167CF2" w:rsidRPr="003625D9" w:rsidRDefault="00167CF2" w:rsidP="007269E9">
      <w:pPr>
        <w:spacing w:line="480" w:lineRule="auto"/>
        <w:ind w:firstLine="706"/>
        <w:rPr>
          <w:rFonts w:asciiTheme="majorHAnsi" w:eastAsiaTheme="minorHAnsi" w:hAnsiTheme="majorHAnsi" w:cs="BodoniLTStd"/>
          <w:szCs w:val="22"/>
        </w:rPr>
      </w:pPr>
    </w:p>
    <w:p w:rsidR="00704420" w:rsidRPr="003625D9" w:rsidRDefault="00704420" w:rsidP="007269E9">
      <w:pPr>
        <w:spacing w:line="480" w:lineRule="auto"/>
        <w:ind w:firstLine="706"/>
        <w:rPr>
          <w:rFonts w:asciiTheme="majorHAnsi" w:hAnsiTheme="majorHAnsi"/>
        </w:rPr>
      </w:pPr>
    </w:p>
    <w:sectPr w:rsidR="00704420" w:rsidRPr="003625D9" w:rsidSect="00FE6469">
      <w:headerReference w:type="default" r:id="rId20"/>
      <w:headerReference w:type="first" r:id="rId21"/>
      <w:pgSz w:w="11906" w:h="16838"/>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8C9" w:rsidRDefault="00DE58C9" w:rsidP="00C20EAD">
      <w:r>
        <w:separator/>
      </w:r>
    </w:p>
  </w:endnote>
  <w:endnote w:type="continuationSeparator" w:id="0">
    <w:p w:rsidR="00DE58C9" w:rsidRDefault="00DE58C9" w:rsidP="00C20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doniLTStd">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8C9" w:rsidRDefault="00DE58C9" w:rsidP="00C20EAD">
      <w:r>
        <w:separator/>
      </w:r>
    </w:p>
  </w:footnote>
  <w:footnote w:type="continuationSeparator" w:id="0">
    <w:p w:rsidR="00DE58C9" w:rsidRDefault="00DE58C9" w:rsidP="00C20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463"/>
      <w:docPartObj>
        <w:docPartGallery w:val="Watermarks"/>
        <w:docPartUnique/>
      </w:docPartObj>
    </w:sdtPr>
    <w:sdtContent>
      <w:p w:rsidR="0004279A" w:rsidRDefault="0001147F">
        <w:pPr>
          <w:pStyle w:val="Header"/>
        </w:pPr>
        <w:r w:rsidRPr="0001147F">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9A" w:rsidRPr="00FE6469" w:rsidRDefault="0004279A">
    <w:pPr>
      <w:pStyle w:val="Header"/>
      <w:rPr>
        <w:lang w:val="en-US"/>
      </w:rPr>
    </w:pPr>
    <w:r>
      <w:rPr>
        <w:lang w:val="en-US"/>
      </w:rPr>
      <w:t>Francisco</w:t>
    </w:r>
    <w:r w:rsidR="00C712BC">
      <w:rPr>
        <w:lang w:val="en-US"/>
      </w:rPr>
      <w:t xml:space="preserve"> (</w:t>
    </w:r>
    <w:r w:rsidR="003D7BE8">
      <w:rPr>
        <w:lang w:val="en-US"/>
      </w:rPr>
      <w:t xml:space="preserve">ONLY </w:t>
    </w:r>
    <w:r w:rsidR="00C712BC">
      <w:rPr>
        <w:lang w:val="en-US"/>
      </w:rPr>
      <w:t>PP</w:t>
    </w:r>
    <w:r w:rsidR="003D7BE8">
      <w:rPr>
        <w:lang w:val="en-US"/>
      </w:rPr>
      <w:t>.</w:t>
    </w:r>
    <w:r w:rsidR="00C712BC">
      <w:rPr>
        <w:lang w:val="en-US"/>
      </w:rPr>
      <w:t>11-18 INCLUDED) FOR REVIEW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F2A48"/>
    <w:multiLevelType w:val="hybridMultilevel"/>
    <w:tmpl w:val="6ACEB9B4"/>
    <w:lvl w:ilvl="0" w:tplc="CD80389E">
      <w:start w:val="1"/>
      <w:numFmt w:val="lowerLetter"/>
      <w:lvlText w:val="%1."/>
      <w:lvlJc w:val="left"/>
      <w:pPr>
        <w:ind w:left="1065" w:hanging="360"/>
      </w:pPr>
      <w:rPr>
        <w:rFonts w:hint="default"/>
      </w:rPr>
    </w:lvl>
    <w:lvl w:ilvl="1" w:tplc="040A0019" w:tentative="1">
      <w:start w:val="1"/>
      <w:numFmt w:val="lowerLetter"/>
      <w:lvlText w:val="%2."/>
      <w:lvlJc w:val="left"/>
      <w:pPr>
        <w:ind w:left="1785" w:hanging="360"/>
      </w:pPr>
    </w:lvl>
    <w:lvl w:ilvl="2" w:tplc="040A001B" w:tentative="1">
      <w:start w:val="1"/>
      <w:numFmt w:val="lowerRoman"/>
      <w:lvlText w:val="%3."/>
      <w:lvlJc w:val="right"/>
      <w:pPr>
        <w:ind w:left="2505" w:hanging="180"/>
      </w:pPr>
    </w:lvl>
    <w:lvl w:ilvl="3" w:tplc="040A000F" w:tentative="1">
      <w:start w:val="1"/>
      <w:numFmt w:val="decimal"/>
      <w:lvlText w:val="%4."/>
      <w:lvlJc w:val="left"/>
      <w:pPr>
        <w:ind w:left="3225" w:hanging="360"/>
      </w:pPr>
    </w:lvl>
    <w:lvl w:ilvl="4" w:tplc="040A0019" w:tentative="1">
      <w:start w:val="1"/>
      <w:numFmt w:val="lowerLetter"/>
      <w:lvlText w:val="%5."/>
      <w:lvlJc w:val="left"/>
      <w:pPr>
        <w:ind w:left="3945" w:hanging="360"/>
      </w:pPr>
    </w:lvl>
    <w:lvl w:ilvl="5" w:tplc="040A001B" w:tentative="1">
      <w:start w:val="1"/>
      <w:numFmt w:val="lowerRoman"/>
      <w:lvlText w:val="%6."/>
      <w:lvlJc w:val="right"/>
      <w:pPr>
        <w:ind w:left="4665" w:hanging="180"/>
      </w:pPr>
    </w:lvl>
    <w:lvl w:ilvl="6" w:tplc="040A000F" w:tentative="1">
      <w:start w:val="1"/>
      <w:numFmt w:val="decimal"/>
      <w:lvlText w:val="%7."/>
      <w:lvlJc w:val="left"/>
      <w:pPr>
        <w:ind w:left="5385" w:hanging="360"/>
      </w:pPr>
    </w:lvl>
    <w:lvl w:ilvl="7" w:tplc="040A0019" w:tentative="1">
      <w:start w:val="1"/>
      <w:numFmt w:val="lowerLetter"/>
      <w:lvlText w:val="%8."/>
      <w:lvlJc w:val="left"/>
      <w:pPr>
        <w:ind w:left="6105" w:hanging="360"/>
      </w:pPr>
    </w:lvl>
    <w:lvl w:ilvl="8" w:tplc="040A001B" w:tentative="1">
      <w:start w:val="1"/>
      <w:numFmt w:val="lowerRoman"/>
      <w:lvlText w:val="%9."/>
      <w:lvlJc w:val="right"/>
      <w:pPr>
        <w:ind w:left="6825" w:hanging="180"/>
      </w:pPr>
    </w:lvl>
  </w:abstractNum>
  <w:abstractNum w:abstractNumId="1">
    <w:nsid w:val="19115F4A"/>
    <w:multiLevelType w:val="hybridMultilevel"/>
    <w:tmpl w:val="0FC8F28E"/>
    <w:lvl w:ilvl="0" w:tplc="786AF94A">
      <w:start w:val="1"/>
      <w:numFmt w:val="upperLetter"/>
      <w:lvlText w:val="%1)"/>
      <w:lvlJc w:val="left"/>
      <w:pPr>
        <w:ind w:left="1068" w:hanging="360"/>
      </w:pPr>
      <w:rPr>
        <w:rFonts w:hint="default"/>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
    <w:nsid w:val="3AEC2C52"/>
    <w:multiLevelType w:val="hybridMultilevel"/>
    <w:tmpl w:val="7752084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3D053A8F"/>
    <w:multiLevelType w:val="hybridMultilevel"/>
    <w:tmpl w:val="92BE302A"/>
    <w:lvl w:ilvl="0" w:tplc="FED026D8">
      <w:start w:val="1"/>
      <w:numFmt w:val="decimal"/>
      <w:lvlText w:val="%1."/>
      <w:lvlJc w:val="left"/>
      <w:pPr>
        <w:ind w:left="1066" w:hanging="360"/>
      </w:pPr>
      <w:rPr>
        <w:rFonts w:hint="default"/>
        <w:color w:val="auto"/>
      </w:rPr>
    </w:lvl>
    <w:lvl w:ilvl="1" w:tplc="040A0019" w:tentative="1">
      <w:start w:val="1"/>
      <w:numFmt w:val="lowerLetter"/>
      <w:lvlText w:val="%2."/>
      <w:lvlJc w:val="left"/>
      <w:pPr>
        <w:ind w:left="1786" w:hanging="360"/>
      </w:pPr>
    </w:lvl>
    <w:lvl w:ilvl="2" w:tplc="040A001B" w:tentative="1">
      <w:start w:val="1"/>
      <w:numFmt w:val="lowerRoman"/>
      <w:lvlText w:val="%3."/>
      <w:lvlJc w:val="right"/>
      <w:pPr>
        <w:ind w:left="2506" w:hanging="180"/>
      </w:pPr>
    </w:lvl>
    <w:lvl w:ilvl="3" w:tplc="040A000F" w:tentative="1">
      <w:start w:val="1"/>
      <w:numFmt w:val="decimal"/>
      <w:lvlText w:val="%4."/>
      <w:lvlJc w:val="left"/>
      <w:pPr>
        <w:ind w:left="3226" w:hanging="360"/>
      </w:pPr>
    </w:lvl>
    <w:lvl w:ilvl="4" w:tplc="040A0019" w:tentative="1">
      <w:start w:val="1"/>
      <w:numFmt w:val="lowerLetter"/>
      <w:lvlText w:val="%5."/>
      <w:lvlJc w:val="left"/>
      <w:pPr>
        <w:ind w:left="3946" w:hanging="360"/>
      </w:pPr>
    </w:lvl>
    <w:lvl w:ilvl="5" w:tplc="040A001B" w:tentative="1">
      <w:start w:val="1"/>
      <w:numFmt w:val="lowerRoman"/>
      <w:lvlText w:val="%6."/>
      <w:lvlJc w:val="right"/>
      <w:pPr>
        <w:ind w:left="4666" w:hanging="180"/>
      </w:pPr>
    </w:lvl>
    <w:lvl w:ilvl="6" w:tplc="040A000F" w:tentative="1">
      <w:start w:val="1"/>
      <w:numFmt w:val="decimal"/>
      <w:lvlText w:val="%7."/>
      <w:lvlJc w:val="left"/>
      <w:pPr>
        <w:ind w:left="5386" w:hanging="360"/>
      </w:pPr>
    </w:lvl>
    <w:lvl w:ilvl="7" w:tplc="040A0019" w:tentative="1">
      <w:start w:val="1"/>
      <w:numFmt w:val="lowerLetter"/>
      <w:lvlText w:val="%8."/>
      <w:lvlJc w:val="left"/>
      <w:pPr>
        <w:ind w:left="6106" w:hanging="360"/>
      </w:pPr>
    </w:lvl>
    <w:lvl w:ilvl="8" w:tplc="040A001B" w:tentative="1">
      <w:start w:val="1"/>
      <w:numFmt w:val="lowerRoman"/>
      <w:lvlText w:val="%9."/>
      <w:lvlJc w:val="right"/>
      <w:pPr>
        <w:ind w:left="6826" w:hanging="180"/>
      </w:pPr>
    </w:lvl>
  </w:abstractNum>
  <w:abstractNum w:abstractNumId="4">
    <w:nsid w:val="4613008E"/>
    <w:multiLevelType w:val="hybridMultilevel"/>
    <w:tmpl w:val="4524D8D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5842"/>
    <o:shapelayout v:ext="edit">
      <o:idmap v:ext="edit" data="4"/>
    </o:shapelayout>
  </w:hdrShapeDefaults>
  <w:footnotePr>
    <w:footnote w:id="-1"/>
    <w:footnote w:id="0"/>
  </w:footnotePr>
  <w:endnotePr>
    <w:endnote w:id="-1"/>
    <w:endnote w:id="0"/>
  </w:endnotePr>
  <w:compat/>
  <w:rsids>
    <w:rsidRoot w:val="00550277"/>
    <w:rsid w:val="0000049A"/>
    <w:rsid w:val="0000196F"/>
    <w:rsid w:val="000032A0"/>
    <w:rsid w:val="00003B5B"/>
    <w:rsid w:val="00005D7D"/>
    <w:rsid w:val="0001147F"/>
    <w:rsid w:val="000153E7"/>
    <w:rsid w:val="00015C95"/>
    <w:rsid w:val="0002772C"/>
    <w:rsid w:val="00031941"/>
    <w:rsid w:val="0004279A"/>
    <w:rsid w:val="00047697"/>
    <w:rsid w:val="00051472"/>
    <w:rsid w:val="00056F58"/>
    <w:rsid w:val="00064C9D"/>
    <w:rsid w:val="000724D4"/>
    <w:rsid w:val="000768E8"/>
    <w:rsid w:val="000819E5"/>
    <w:rsid w:val="00086B81"/>
    <w:rsid w:val="00092A1D"/>
    <w:rsid w:val="000935DA"/>
    <w:rsid w:val="000A32A1"/>
    <w:rsid w:val="000B0DE9"/>
    <w:rsid w:val="000B23E5"/>
    <w:rsid w:val="000C2121"/>
    <w:rsid w:val="000C4EFF"/>
    <w:rsid w:val="000E1A14"/>
    <w:rsid w:val="000F4469"/>
    <w:rsid w:val="000F68D1"/>
    <w:rsid w:val="000F6C01"/>
    <w:rsid w:val="00111FE4"/>
    <w:rsid w:val="00116F9E"/>
    <w:rsid w:val="00121737"/>
    <w:rsid w:val="001261AC"/>
    <w:rsid w:val="00127738"/>
    <w:rsid w:val="00131C15"/>
    <w:rsid w:val="0013340E"/>
    <w:rsid w:val="00134CA4"/>
    <w:rsid w:val="001358EB"/>
    <w:rsid w:val="00150D15"/>
    <w:rsid w:val="0015238B"/>
    <w:rsid w:val="00155ED1"/>
    <w:rsid w:val="001619FB"/>
    <w:rsid w:val="00162C5F"/>
    <w:rsid w:val="001632DD"/>
    <w:rsid w:val="0016443A"/>
    <w:rsid w:val="00167CF2"/>
    <w:rsid w:val="00174F8E"/>
    <w:rsid w:val="00180491"/>
    <w:rsid w:val="00183CA1"/>
    <w:rsid w:val="0018475D"/>
    <w:rsid w:val="00186108"/>
    <w:rsid w:val="001867B4"/>
    <w:rsid w:val="001921F3"/>
    <w:rsid w:val="00192515"/>
    <w:rsid w:val="00196E3C"/>
    <w:rsid w:val="001A35FF"/>
    <w:rsid w:val="001C4C8D"/>
    <w:rsid w:val="001C6BFF"/>
    <w:rsid w:val="001D51A1"/>
    <w:rsid w:val="001F0041"/>
    <w:rsid w:val="001F1468"/>
    <w:rsid w:val="001F52EE"/>
    <w:rsid w:val="00212518"/>
    <w:rsid w:val="00220CF8"/>
    <w:rsid w:val="00223AD9"/>
    <w:rsid w:val="00226DD7"/>
    <w:rsid w:val="00252AF7"/>
    <w:rsid w:val="00252E47"/>
    <w:rsid w:val="00261DDA"/>
    <w:rsid w:val="00267975"/>
    <w:rsid w:val="00280DDC"/>
    <w:rsid w:val="00294968"/>
    <w:rsid w:val="00296D19"/>
    <w:rsid w:val="002A1348"/>
    <w:rsid w:val="002B34A2"/>
    <w:rsid w:val="002B3C11"/>
    <w:rsid w:val="002B4CFF"/>
    <w:rsid w:val="002B58A1"/>
    <w:rsid w:val="002C4A16"/>
    <w:rsid w:val="002C6552"/>
    <w:rsid w:val="002D27A3"/>
    <w:rsid w:val="002E65D4"/>
    <w:rsid w:val="002E747D"/>
    <w:rsid w:val="002F0A79"/>
    <w:rsid w:val="00302A5F"/>
    <w:rsid w:val="00306A4B"/>
    <w:rsid w:val="00307FBC"/>
    <w:rsid w:val="00315DBD"/>
    <w:rsid w:val="00320FF1"/>
    <w:rsid w:val="00330A42"/>
    <w:rsid w:val="003341E4"/>
    <w:rsid w:val="00340078"/>
    <w:rsid w:val="00342D6E"/>
    <w:rsid w:val="0035634E"/>
    <w:rsid w:val="00357E23"/>
    <w:rsid w:val="003625D9"/>
    <w:rsid w:val="003664A8"/>
    <w:rsid w:val="00372537"/>
    <w:rsid w:val="00374538"/>
    <w:rsid w:val="00390844"/>
    <w:rsid w:val="00391FCE"/>
    <w:rsid w:val="00397642"/>
    <w:rsid w:val="003A0747"/>
    <w:rsid w:val="003A5167"/>
    <w:rsid w:val="003A553F"/>
    <w:rsid w:val="003A6FA2"/>
    <w:rsid w:val="003C06A9"/>
    <w:rsid w:val="003D5A9B"/>
    <w:rsid w:val="003D7BE8"/>
    <w:rsid w:val="003E27AD"/>
    <w:rsid w:val="003E3C75"/>
    <w:rsid w:val="003E519E"/>
    <w:rsid w:val="003E5E37"/>
    <w:rsid w:val="0040670A"/>
    <w:rsid w:val="00416A83"/>
    <w:rsid w:val="00421439"/>
    <w:rsid w:val="004257E7"/>
    <w:rsid w:val="00432A6E"/>
    <w:rsid w:val="00440AA0"/>
    <w:rsid w:val="0044235A"/>
    <w:rsid w:val="00443EAE"/>
    <w:rsid w:val="00456BB0"/>
    <w:rsid w:val="00460A87"/>
    <w:rsid w:val="00462D26"/>
    <w:rsid w:val="004642E9"/>
    <w:rsid w:val="004670C0"/>
    <w:rsid w:val="00467AA0"/>
    <w:rsid w:val="00477471"/>
    <w:rsid w:val="00490D43"/>
    <w:rsid w:val="00495AF4"/>
    <w:rsid w:val="0049764A"/>
    <w:rsid w:val="004A0B52"/>
    <w:rsid w:val="004A5BFF"/>
    <w:rsid w:val="004A5FC2"/>
    <w:rsid w:val="004A77DA"/>
    <w:rsid w:val="004B113A"/>
    <w:rsid w:val="004C0A41"/>
    <w:rsid w:val="004C2F01"/>
    <w:rsid w:val="004D73AF"/>
    <w:rsid w:val="004D7B1E"/>
    <w:rsid w:val="004F30EE"/>
    <w:rsid w:val="005055E7"/>
    <w:rsid w:val="0050761B"/>
    <w:rsid w:val="0051064F"/>
    <w:rsid w:val="00510DEF"/>
    <w:rsid w:val="00512501"/>
    <w:rsid w:val="005235D7"/>
    <w:rsid w:val="00524A6D"/>
    <w:rsid w:val="00533E80"/>
    <w:rsid w:val="00534CE9"/>
    <w:rsid w:val="00540FAC"/>
    <w:rsid w:val="00544766"/>
    <w:rsid w:val="00545893"/>
    <w:rsid w:val="00547D2E"/>
    <w:rsid w:val="00550277"/>
    <w:rsid w:val="00551FDD"/>
    <w:rsid w:val="00552EEE"/>
    <w:rsid w:val="0055714B"/>
    <w:rsid w:val="00586E06"/>
    <w:rsid w:val="00587DEC"/>
    <w:rsid w:val="00593C55"/>
    <w:rsid w:val="005A478B"/>
    <w:rsid w:val="005C089A"/>
    <w:rsid w:val="005C6991"/>
    <w:rsid w:val="005C6A7F"/>
    <w:rsid w:val="005C6DA8"/>
    <w:rsid w:val="005F373C"/>
    <w:rsid w:val="005F4394"/>
    <w:rsid w:val="005F6F52"/>
    <w:rsid w:val="005F7C2D"/>
    <w:rsid w:val="00613D59"/>
    <w:rsid w:val="00616487"/>
    <w:rsid w:val="006256A8"/>
    <w:rsid w:val="00640295"/>
    <w:rsid w:val="006424DF"/>
    <w:rsid w:val="00642E38"/>
    <w:rsid w:val="0064579A"/>
    <w:rsid w:val="0064757E"/>
    <w:rsid w:val="00655544"/>
    <w:rsid w:val="00655870"/>
    <w:rsid w:val="006604B7"/>
    <w:rsid w:val="00662D32"/>
    <w:rsid w:val="0066466C"/>
    <w:rsid w:val="00665218"/>
    <w:rsid w:val="0067067A"/>
    <w:rsid w:val="00672BB7"/>
    <w:rsid w:val="00681CC3"/>
    <w:rsid w:val="00682769"/>
    <w:rsid w:val="00690CB2"/>
    <w:rsid w:val="00696884"/>
    <w:rsid w:val="00697AC1"/>
    <w:rsid w:val="006A24C6"/>
    <w:rsid w:val="006B44E3"/>
    <w:rsid w:val="006C25A5"/>
    <w:rsid w:val="006C636A"/>
    <w:rsid w:val="006D0CA5"/>
    <w:rsid w:val="006D2C9D"/>
    <w:rsid w:val="006D56E3"/>
    <w:rsid w:val="006E0CD6"/>
    <w:rsid w:val="006E1A25"/>
    <w:rsid w:val="00704420"/>
    <w:rsid w:val="007047D4"/>
    <w:rsid w:val="00714B60"/>
    <w:rsid w:val="0071564B"/>
    <w:rsid w:val="007269E9"/>
    <w:rsid w:val="00733D2A"/>
    <w:rsid w:val="0073511E"/>
    <w:rsid w:val="00755DB6"/>
    <w:rsid w:val="00757966"/>
    <w:rsid w:val="00764560"/>
    <w:rsid w:val="0076509C"/>
    <w:rsid w:val="0076581C"/>
    <w:rsid w:val="0077401D"/>
    <w:rsid w:val="00780F08"/>
    <w:rsid w:val="0078391C"/>
    <w:rsid w:val="00786D6D"/>
    <w:rsid w:val="00790D3C"/>
    <w:rsid w:val="007941CE"/>
    <w:rsid w:val="007A3F90"/>
    <w:rsid w:val="007B65D2"/>
    <w:rsid w:val="007B69A2"/>
    <w:rsid w:val="007D34FD"/>
    <w:rsid w:val="007E4FA6"/>
    <w:rsid w:val="007F36B8"/>
    <w:rsid w:val="007F6748"/>
    <w:rsid w:val="00826C90"/>
    <w:rsid w:val="008327E2"/>
    <w:rsid w:val="00836A31"/>
    <w:rsid w:val="00843450"/>
    <w:rsid w:val="00845452"/>
    <w:rsid w:val="008640BD"/>
    <w:rsid w:val="008776DB"/>
    <w:rsid w:val="008921A3"/>
    <w:rsid w:val="008933EA"/>
    <w:rsid w:val="008A3D4E"/>
    <w:rsid w:val="008A3EB1"/>
    <w:rsid w:val="008A6CA1"/>
    <w:rsid w:val="008D650C"/>
    <w:rsid w:val="008F0C6E"/>
    <w:rsid w:val="008F5F08"/>
    <w:rsid w:val="00905736"/>
    <w:rsid w:val="00913479"/>
    <w:rsid w:val="009153CD"/>
    <w:rsid w:val="009157DC"/>
    <w:rsid w:val="009209BC"/>
    <w:rsid w:val="00921BFF"/>
    <w:rsid w:val="00930B7D"/>
    <w:rsid w:val="00935CE0"/>
    <w:rsid w:val="00940123"/>
    <w:rsid w:val="00942C4A"/>
    <w:rsid w:val="0095353D"/>
    <w:rsid w:val="00954E62"/>
    <w:rsid w:val="00957AA2"/>
    <w:rsid w:val="00961ACB"/>
    <w:rsid w:val="00962B2F"/>
    <w:rsid w:val="00962C12"/>
    <w:rsid w:val="00975D68"/>
    <w:rsid w:val="00980BBC"/>
    <w:rsid w:val="0098115B"/>
    <w:rsid w:val="009861A6"/>
    <w:rsid w:val="00993F9E"/>
    <w:rsid w:val="009A29AA"/>
    <w:rsid w:val="009B2BB0"/>
    <w:rsid w:val="009B7D28"/>
    <w:rsid w:val="009C1B1B"/>
    <w:rsid w:val="009D7C5C"/>
    <w:rsid w:val="009E52EC"/>
    <w:rsid w:val="00A00B0A"/>
    <w:rsid w:val="00A00FFC"/>
    <w:rsid w:val="00A01203"/>
    <w:rsid w:val="00A029BA"/>
    <w:rsid w:val="00A064B3"/>
    <w:rsid w:val="00A12268"/>
    <w:rsid w:val="00A16AD8"/>
    <w:rsid w:val="00A16EBF"/>
    <w:rsid w:val="00A25492"/>
    <w:rsid w:val="00A338C6"/>
    <w:rsid w:val="00A37D0A"/>
    <w:rsid w:val="00A45FAF"/>
    <w:rsid w:val="00A531A7"/>
    <w:rsid w:val="00A61D75"/>
    <w:rsid w:val="00A625A0"/>
    <w:rsid w:val="00A650CF"/>
    <w:rsid w:val="00A93CDE"/>
    <w:rsid w:val="00AA0B96"/>
    <w:rsid w:val="00AA398C"/>
    <w:rsid w:val="00AC6808"/>
    <w:rsid w:val="00AC69B3"/>
    <w:rsid w:val="00AD3CC9"/>
    <w:rsid w:val="00AD774D"/>
    <w:rsid w:val="00AE75C3"/>
    <w:rsid w:val="00AF4E0F"/>
    <w:rsid w:val="00AF62D2"/>
    <w:rsid w:val="00B0063E"/>
    <w:rsid w:val="00B0082E"/>
    <w:rsid w:val="00B032D6"/>
    <w:rsid w:val="00B1020F"/>
    <w:rsid w:val="00B11292"/>
    <w:rsid w:val="00B23DB2"/>
    <w:rsid w:val="00B30CF5"/>
    <w:rsid w:val="00B30D0A"/>
    <w:rsid w:val="00B34FCA"/>
    <w:rsid w:val="00B36A0B"/>
    <w:rsid w:val="00B3776C"/>
    <w:rsid w:val="00B44369"/>
    <w:rsid w:val="00B47265"/>
    <w:rsid w:val="00B50E1E"/>
    <w:rsid w:val="00B53902"/>
    <w:rsid w:val="00B54BDF"/>
    <w:rsid w:val="00B61624"/>
    <w:rsid w:val="00B61C6C"/>
    <w:rsid w:val="00B6429B"/>
    <w:rsid w:val="00B761A0"/>
    <w:rsid w:val="00B8568F"/>
    <w:rsid w:val="00B90787"/>
    <w:rsid w:val="00BA45D0"/>
    <w:rsid w:val="00BB7BCA"/>
    <w:rsid w:val="00BD594D"/>
    <w:rsid w:val="00BF151E"/>
    <w:rsid w:val="00C07670"/>
    <w:rsid w:val="00C1041E"/>
    <w:rsid w:val="00C120FA"/>
    <w:rsid w:val="00C124D4"/>
    <w:rsid w:val="00C20EAD"/>
    <w:rsid w:val="00C36D3A"/>
    <w:rsid w:val="00C62AEC"/>
    <w:rsid w:val="00C6518F"/>
    <w:rsid w:val="00C67B69"/>
    <w:rsid w:val="00C712BC"/>
    <w:rsid w:val="00C81D95"/>
    <w:rsid w:val="00C82B6F"/>
    <w:rsid w:val="00C87D7B"/>
    <w:rsid w:val="00C92099"/>
    <w:rsid w:val="00CA385C"/>
    <w:rsid w:val="00CD33BE"/>
    <w:rsid w:val="00CD4BE6"/>
    <w:rsid w:val="00CF4B42"/>
    <w:rsid w:val="00CF62FD"/>
    <w:rsid w:val="00D142AB"/>
    <w:rsid w:val="00D333F6"/>
    <w:rsid w:val="00D36132"/>
    <w:rsid w:val="00D439B5"/>
    <w:rsid w:val="00D568D2"/>
    <w:rsid w:val="00D63B1D"/>
    <w:rsid w:val="00D65C2D"/>
    <w:rsid w:val="00D7411B"/>
    <w:rsid w:val="00D8615C"/>
    <w:rsid w:val="00D868FD"/>
    <w:rsid w:val="00DA57E9"/>
    <w:rsid w:val="00DB2A8B"/>
    <w:rsid w:val="00DB424D"/>
    <w:rsid w:val="00DC550F"/>
    <w:rsid w:val="00DC633C"/>
    <w:rsid w:val="00DD5B04"/>
    <w:rsid w:val="00DE2D0A"/>
    <w:rsid w:val="00DE39BE"/>
    <w:rsid w:val="00DE52B2"/>
    <w:rsid w:val="00DE58C9"/>
    <w:rsid w:val="00DF28E3"/>
    <w:rsid w:val="00DF7A99"/>
    <w:rsid w:val="00E1751F"/>
    <w:rsid w:val="00E252E4"/>
    <w:rsid w:val="00E267E9"/>
    <w:rsid w:val="00E43EB0"/>
    <w:rsid w:val="00E45F13"/>
    <w:rsid w:val="00E463F8"/>
    <w:rsid w:val="00E5452B"/>
    <w:rsid w:val="00E55A63"/>
    <w:rsid w:val="00E5631F"/>
    <w:rsid w:val="00E606CD"/>
    <w:rsid w:val="00E67B47"/>
    <w:rsid w:val="00E67BA0"/>
    <w:rsid w:val="00E711B4"/>
    <w:rsid w:val="00E87109"/>
    <w:rsid w:val="00E875C1"/>
    <w:rsid w:val="00E917EE"/>
    <w:rsid w:val="00E946B5"/>
    <w:rsid w:val="00EA3182"/>
    <w:rsid w:val="00EB0810"/>
    <w:rsid w:val="00EB0A89"/>
    <w:rsid w:val="00EB38CB"/>
    <w:rsid w:val="00EB40B7"/>
    <w:rsid w:val="00EB567F"/>
    <w:rsid w:val="00EC5D89"/>
    <w:rsid w:val="00ED4EF5"/>
    <w:rsid w:val="00ED6DB2"/>
    <w:rsid w:val="00EE7751"/>
    <w:rsid w:val="00EE793A"/>
    <w:rsid w:val="00EF391F"/>
    <w:rsid w:val="00F01732"/>
    <w:rsid w:val="00F02BDF"/>
    <w:rsid w:val="00F03C0D"/>
    <w:rsid w:val="00F041E4"/>
    <w:rsid w:val="00F0729E"/>
    <w:rsid w:val="00F11AA4"/>
    <w:rsid w:val="00F13538"/>
    <w:rsid w:val="00F14E9F"/>
    <w:rsid w:val="00F154F1"/>
    <w:rsid w:val="00F209AD"/>
    <w:rsid w:val="00F2785E"/>
    <w:rsid w:val="00F3258B"/>
    <w:rsid w:val="00F32962"/>
    <w:rsid w:val="00F54C53"/>
    <w:rsid w:val="00F65226"/>
    <w:rsid w:val="00F741E4"/>
    <w:rsid w:val="00F75C9C"/>
    <w:rsid w:val="00F802BB"/>
    <w:rsid w:val="00F93843"/>
    <w:rsid w:val="00F949ED"/>
    <w:rsid w:val="00F9512A"/>
    <w:rsid w:val="00F96A2B"/>
    <w:rsid w:val="00FA3FAC"/>
    <w:rsid w:val="00FA6AA7"/>
    <w:rsid w:val="00FA721C"/>
    <w:rsid w:val="00FC0135"/>
    <w:rsid w:val="00FC6F1B"/>
    <w:rsid w:val="00FD2B94"/>
    <w:rsid w:val="00FD488A"/>
    <w:rsid w:val="00FE6469"/>
    <w:rsid w:val="00FF095F"/>
    <w:rsid w:val="00FF3DE2"/>
    <w:rsid w:val="00FF42C8"/>
    <w:rsid w:val="00FF748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DB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5F6F5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_tradnl"/>
    </w:rPr>
  </w:style>
  <w:style w:type="paragraph" w:styleId="Heading2">
    <w:name w:val="heading 2"/>
    <w:basedOn w:val="Normal"/>
    <w:next w:val="Normal"/>
    <w:link w:val="Heading2Char"/>
    <w:uiPriority w:val="9"/>
    <w:unhideWhenUsed/>
    <w:qFormat/>
    <w:rsid w:val="00307F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61D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0B7"/>
    <w:rPr>
      <w:rFonts w:ascii="Tahoma" w:eastAsiaTheme="minorHAnsi" w:hAnsi="Tahoma" w:cs="Tahoma"/>
      <w:sz w:val="16"/>
      <w:szCs w:val="16"/>
      <w:lang w:val="es-ES_tradnl"/>
    </w:rPr>
  </w:style>
  <w:style w:type="character" w:customStyle="1" w:styleId="BalloonTextChar">
    <w:name w:val="Balloon Text Char"/>
    <w:basedOn w:val="DefaultParagraphFont"/>
    <w:link w:val="BalloonText"/>
    <w:uiPriority w:val="99"/>
    <w:semiHidden/>
    <w:rsid w:val="00EB40B7"/>
    <w:rPr>
      <w:rFonts w:ascii="Tahoma" w:hAnsi="Tahoma" w:cs="Tahoma"/>
      <w:sz w:val="16"/>
      <w:szCs w:val="16"/>
    </w:rPr>
  </w:style>
  <w:style w:type="paragraph" w:styleId="NoSpacing">
    <w:name w:val="No Spacing"/>
    <w:link w:val="NoSpacingChar"/>
    <w:uiPriority w:val="1"/>
    <w:qFormat/>
    <w:rsid w:val="005F6F52"/>
    <w:pPr>
      <w:spacing w:after="0" w:line="240" w:lineRule="auto"/>
    </w:pPr>
  </w:style>
  <w:style w:type="character" w:customStyle="1" w:styleId="Heading1Char">
    <w:name w:val="Heading 1 Char"/>
    <w:basedOn w:val="DefaultParagraphFont"/>
    <w:link w:val="Heading1"/>
    <w:uiPriority w:val="9"/>
    <w:rsid w:val="005F6F52"/>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semiHidden/>
    <w:unhideWhenUsed/>
    <w:qFormat/>
    <w:rsid w:val="001867B4"/>
    <w:rPr>
      <w:b/>
      <w:bCs/>
      <w:color w:val="4F81BD" w:themeColor="accent1"/>
      <w:sz w:val="18"/>
      <w:szCs w:val="18"/>
    </w:rPr>
  </w:style>
  <w:style w:type="paragraph" w:styleId="Revision">
    <w:name w:val="Revision"/>
    <w:hidden/>
    <w:uiPriority w:val="99"/>
    <w:semiHidden/>
    <w:rsid w:val="001867B4"/>
    <w:pPr>
      <w:spacing w:after="0" w:line="240" w:lineRule="auto"/>
    </w:pPr>
  </w:style>
  <w:style w:type="paragraph" w:customStyle="1" w:styleId="Default">
    <w:name w:val="Default"/>
    <w:rsid w:val="00AD3CC9"/>
    <w:pPr>
      <w:autoSpaceDE w:val="0"/>
      <w:autoSpaceDN w:val="0"/>
      <w:adjustRightInd w:val="0"/>
      <w:spacing w:after="0" w:line="240" w:lineRule="auto"/>
    </w:pPr>
    <w:rPr>
      <w:rFonts w:ascii="Times New Roman" w:hAnsi="Times New Roman" w:cs="Times New Roman"/>
      <w:color w:val="000000"/>
      <w:sz w:val="24"/>
      <w:szCs w:val="24"/>
    </w:rPr>
  </w:style>
  <w:style w:type="paragraph" w:styleId="Bibliography">
    <w:name w:val="Bibliography"/>
    <w:basedOn w:val="Normal"/>
    <w:next w:val="Normal"/>
    <w:uiPriority w:val="37"/>
    <w:unhideWhenUsed/>
    <w:rsid w:val="00220CF8"/>
    <w:pPr>
      <w:spacing w:after="200" w:line="276" w:lineRule="auto"/>
    </w:pPr>
    <w:rPr>
      <w:rFonts w:asciiTheme="minorHAnsi" w:eastAsiaTheme="minorHAnsi" w:hAnsiTheme="minorHAnsi" w:cstheme="minorBidi"/>
      <w:sz w:val="22"/>
      <w:szCs w:val="22"/>
      <w:lang w:val="es-ES_tradnl"/>
    </w:rPr>
  </w:style>
  <w:style w:type="paragraph" w:styleId="Header">
    <w:name w:val="header"/>
    <w:basedOn w:val="Normal"/>
    <w:link w:val="Head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HeaderChar">
    <w:name w:val="Header Char"/>
    <w:basedOn w:val="DefaultParagraphFont"/>
    <w:link w:val="Header"/>
    <w:uiPriority w:val="99"/>
    <w:semiHidden/>
    <w:rsid w:val="00C20EAD"/>
  </w:style>
  <w:style w:type="paragraph" w:styleId="Footer">
    <w:name w:val="footer"/>
    <w:basedOn w:val="Normal"/>
    <w:link w:val="Foot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FooterChar">
    <w:name w:val="Footer Char"/>
    <w:basedOn w:val="DefaultParagraphFont"/>
    <w:link w:val="Footer"/>
    <w:uiPriority w:val="99"/>
    <w:semiHidden/>
    <w:rsid w:val="00C20EAD"/>
  </w:style>
  <w:style w:type="character" w:customStyle="1" w:styleId="Heading3Char">
    <w:name w:val="Heading 3 Char"/>
    <w:basedOn w:val="DefaultParagraphFont"/>
    <w:link w:val="Heading3"/>
    <w:uiPriority w:val="9"/>
    <w:semiHidden/>
    <w:rsid w:val="00A61D75"/>
    <w:rPr>
      <w:rFonts w:asciiTheme="majorHAnsi" w:eastAsiaTheme="majorEastAsia" w:hAnsiTheme="majorHAnsi" w:cstheme="majorBidi"/>
      <w:b/>
      <w:bCs/>
      <w:color w:val="4F81BD" w:themeColor="accent1"/>
      <w:sz w:val="24"/>
      <w:szCs w:val="24"/>
      <w:lang w:val="en-US"/>
    </w:rPr>
  </w:style>
  <w:style w:type="character" w:customStyle="1" w:styleId="NoSpacingChar">
    <w:name w:val="No Spacing Char"/>
    <w:basedOn w:val="DefaultParagraphFont"/>
    <w:link w:val="NoSpacing"/>
    <w:uiPriority w:val="1"/>
    <w:rsid w:val="00FE6469"/>
  </w:style>
  <w:style w:type="paragraph" w:styleId="ListParagraph">
    <w:name w:val="List Paragraph"/>
    <w:basedOn w:val="Normal"/>
    <w:uiPriority w:val="34"/>
    <w:qFormat/>
    <w:rsid w:val="00A16AD8"/>
    <w:pPr>
      <w:ind w:left="720"/>
      <w:contextualSpacing/>
    </w:pPr>
  </w:style>
  <w:style w:type="table" w:styleId="MediumShading1-Accent6">
    <w:name w:val="Medium Shading 1 Accent 6"/>
    <w:basedOn w:val="TableNormal"/>
    <w:uiPriority w:val="63"/>
    <w:rsid w:val="000C2121"/>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customStyle="1" w:styleId="Heading2Char">
    <w:name w:val="Heading 2 Char"/>
    <w:basedOn w:val="DefaultParagraphFont"/>
    <w:link w:val="Heading2"/>
    <w:uiPriority w:val="9"/>
    <w:rsid w:val="00307FBC"/>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r="http://schemas.openxmlformats.org/officeDocument/2006/relationships" xmlns:w="http://schemas.openxmlformats.org/wordprocessingml/2006/main">
  <w:divs>
    <w:div w:id="54401706">
      <w:bodyDiv w:val="1"/>
      <w:marLeft w:val="0"/>
      <w:marRight w:val="0"/>
      <w:marTop w:val="0"/>
      <w:marBottom w:val="0"/>
      <w:divBdr>
        <w:top w:val="none" w:sz="0" w:space="0" w:color="auto"/>
        <w:left w:val="none" w:sz="0" w:space="0" w:color="auto"/>
        <w:bottom w:val="none" w:sz="0" w:space="0" w:color="auto"/>
        <w:right w:val="none" w:sz="0" w:space="0" w:color="auto"/>
      </w:divBdr>
    </w:div>
    <w:div w:id="1740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Bal04</b:Tag>
    <b:SourceType>JournalArticle</b:SourceType>
    <b:Guid>{817FE789-7A3E-4940-A637-0659147EFA53}</b:Guid>
    <b:LCID>0</b:LCID>
    <b:Author>
      <b:Author>
        <b:NameList>
          <b:Person>
            <b:Last>Balfanz</b:Last>
            <b:First>Robert</b:First>
          </b:Person>
          <b:Person>
            <b:Last>Legters</b:Last>
            <b:First>Nettie</b:First>
          </b:Person>
          <b:Person>
            <b:Last>Jordan</b:Last>
            <b:First>Will</b:First>
          </b:Person>
        </b:NameList>
      </b:Author>
    </b:Author>
    <b:Title>Catching Up: Effect of the Talent Development Ninth-Grade Instructional Interventions in Reading and Mathematics inHigh-Poverty High Schools</b:Title>
    <b:Year>2004</b:Year>
    <b:JournalName>NASSP Bulletin</b:JournalName>
    <b:RefOrder>7</b:RefOrder>
  </b:Source>
  <b:Source>
    <b:Tag>Rob02</b:Tag>
    <b:SourceType>Report</b:SourceType>
    <b:Guid>{32EC3C34-5C2C-4708-AF86-0453E50F1808}</b:Guid>
    <b:LCID>0</b:LCID>
    <b:Author>
      <b:Author>
        <b:NameList>
          <b:Person>
            <b:Last>McPartland</b:Last>
            <b:First>James</b:First>
          </b:Person>
          <b:Person>
            <b:Last>Alta</b:Last>
            <b:First>Shaw</b:First>
          </b:Person>
          <b:Person>
            <b:Last>Balfanz</b:Last>
            <b:First>Robert</b:First>
          </b:Person>
        </b:NameList>
      </b:Author>
    </b:Author>
    <b:Title>Re-conceptualizing Extra Help for High School Students in a High Standards Era</b:Title>
    <b:Year>2002</b:Year>
    <b:Publisher>Center for Social Organization of Schools</b:Publisher>
    <b:City>Washington</b:City>
    <b:RefOrder>9</b:RefOrder>
  </b:Source>
  <b:Source>
    <b:Tag>Inf</b:Tag>
    <b:SourceType>Report</b:SourceType>
    <b:Guid>{B20362E9-A025-456F-A704-21FAC28BCEAA}</b:Guid>
    <b:LCID>0</b:LCID>
    <b:Author>
      <b:Author>
        <b:Corporate>Information Works!</b:Corporate>
      </b:Author>
    </b:Author>
    <b:Title>Measuring Rhode Island Schools for Change: Rhode Island State Report Card</b:Title>
    <b:Year>2009</b:Year>
    <b:City>Providence</b:City>
    <b:RefOrder>27</b:RefOrder>
  </b:Source>
  <b:Source>
    <b:Tag>Hig</b:Tag>
    <b:SourceType>Report</b:SourceType>
    <b:Guid>{46207F8E-5FAC-466D-A153-10237030ABD2}</b:Guid>
    <b:LCID>0</b:LCID>
    <b:Title>Highlights From TIMSS 2007: Mathematics and Science Achievement of U.S. Fourthand</b:Title>
    <b:Year>2008</b:Year>
    <b:Author>
      <b:Author>
        <b:Corporate>National Center for Educational Statistics</b:Corporate>
      </b:Author>
    </b:Author>
    <b:Publisher>U.S. Department of Education</b:Publisher>
    <b:City>Washington, D.C.</b:City>
    <b:RefOrder>28</b:RefOrder>
  </b:Source>
  <b:Source>
    <b:Tag>Nat07</b:Tag>
    <b:SourceType>Report</b:SourceType>
    <b:Guid>{199A5B25-8E3A-4F4B-B323-DAC8202234F2}</b:Guid>
    <b:LCID>0</b:LCID>
    <b:Author>
      <b:Author>
        <b:Corporate>National Center for Educational Statistics</b:Corporate>
      </b:Author>
    </b:Author>
    <b:Title>The Nation's Report Card:  Mathematics 2007 State Snapshot Report</b:Title>
    <b:Year>2007</b:Year>
    <b:Publisher>U.S. Department of Education</b:Publisher>
    <b:City>Washington, D.C.</b:City>
    <b:RefOrder>8</b:RefOrder>
  </b:Source>
  <b:Source>
    <b:Tag>Res03</b:Tag>
    <b:SourceType>Report</b:SourceType>
    <b:Guid>{17C0AD8D-7150-48D1-8AE3-F3DB4DD2BE35}</b:Guid>
    <b:LCID>0</b:LCID>
    <b:Author>
      <b:Author>
        <b:Corporate>Committee for Economic Development</b:Corporate>
      </b:Author>
    </b:Author>
    <b:Title>Learning for the Future: Changing the Culture of Math and Science</b:Title>
    <b:Year>2003</b:Year>
    <b:Publisher>Research and Policy Committee of the Committe for Economic Development</b:Publisher>
    <b:City>New York, NY</b:City>
    <b:RefOrder>29</b:RefOrder>
  </b:Source>
  <b:Source>
    <b:Tag>Gri05</b:Tag>
    <b:SourceType>Report</b:SourceType>
    <b:Guid>{171A7AA1-CFCE-4A8B-B4AC-F1B101CD0555}</b:Guid>
    <b:LCID>0</b:LCID>
    <b:Author>
      <b:Author>
        <b:NameList>
          <b:Person>
            <b:Last>Grigg</b:Last>
            <b:First>W</b:First>
          </b:Person>
          <b:Person>
            <b:Last>Donahue</b:Last>
            <b:First>P</b:First>
          </b:Person>
          <b:Person>
            <b:Last>Dion</b:Last>
            <b:First>G</b:First>
          </b:Person>
        </b:NameList>
      </b:Author>
    </b:Author>
    <b:Title>The Nation's Report Card: 12th-Grade Reading and Mathematics 2005</b:Title>
    <b:Year>2005</b:Year>
    <b:Publisher>National Center for Educational Statistics</b:Publisher>
    <b:City>Washington, D.C.</b:City>
    <b:RefOrder>30</b:RefOrder>
  </b:Source>
  <b:Source>
    <b:Tag>Sup08</b:Tag>
    <b:SourceType>JournalArticle</b:SourceType>
    <b:Guid>{1390CCC7-B186-49AA-A5CA-899A0AD66A1D}</b:Guid>
    <b:LCID>0</b:LCID>
    <b:Author>
      <b:Author>
        <b:NameList>
          <b:Person>
            <b:Last>Supon</b:Last>
            <b:First>Viola</b:First>
          </b:Person>
        </b:NameList>
      </b:Author>
    </b:Author>
    <b:Title>High-Stakes Testing: Strategies by Teachers and Principals for Student Success</b:Title>
    <b:Year>2008</b:Year>
    <b:Publisher>Journal of Instructional Psychology</b:Publisher>
    <b:JournalName>Journal of Instructional Psychology</b:JournalName>
    <b:Pages>306-308</b:Pages>
    <b:RefOrder>31</b:RefOrder>
  </b:Source>
  <b:Source>
    <b:Tag>Kor05</b:Tag>
    <b:SourceType>JournalArticle</b:SourceType>
    <b:Guid>{FF06F66D-6B75-43A0-9F3C-502AEF004118}</b:Guid>
    <b:LCID>0</b:LCID>
    <b:Author>
      <b:Author>
        <b:NameList>
          <b:Person>
            <b:Last>Kortering</b:Last>
            <b:First>Larry</b:First>
            <b:Middle>J</b:Middle>
          </b:Person>
          <b:Person>
            <b:Last>de Bettencourt</b:Last>
            <b:First>Laurie</b:First>
            <b:Middle>U</b:Middle>
          </b:Person>
          <b:Person>
            <b:Last>Brazil</b:Last>
            <b:First>Patricia</b:First>
            <b:Middle>M</b:Middle>
          </b:Person>
        </b:NameList>
      </b:Author>
    </b:Author>
    <b:Title>Improving Performance in High School Algebra: What Students with Learning Disabilities are Saying</b:Title>
    <b:JournalName>Learning Disability Quarterly</b:JournalName>
    <b:Year>2005</b:Year>
    <b:Pages>191-203</b:Pages>
    <b:Volume>28</b:Volume>
    <b:Issue>3</b:Issue>
    <b:RefOrder>32</b:RefOrder>
  </b:Source>
  <b:Source>
    <b:Tag>Nat06</b:Tag>
    <b:SourceType>DocumentFromInternetSite</b:SourceType>
    <b:Guid>{75074421-38AD-4639-A637-AA342BC27ADE}</b:Guid>
    <b:LCID>0</b:LCID>
    <b:Author>
      <b:Author>
        <b:Corporate>National Science Board</b:Corporate>
      </b:Author>
    </b:Author>
    <b:Title>Science and Engineering Indicators</b:Title>
    <b:Year>2006</b:Year>
    <b:InternetSiteTitle>National Science Foundation</b:InternetSiteTitle>
    <b:YearAccessed>2009</b:YearAccessed>
    <b:MonthAccessed>July</b:MonthAccessed>
    <b:DayAccessed>15</b:DayAccessed>
    <b:URL>http://www.nsf.gov/statistics/seind06/c1/c1h.htm</b:URL>
    <b:RefOrder>33</b:RefOrder>
  </b:Source>
  <b:Source>
    <b:Tag>10702</b:Tag>
    <b:SourceType>Book</b:SourceType>
    <b:Guid>{59C555A2-B2E5-4808-BF23-FE5576BE1D61}</b:Guid>
    <b:LCID>0</b:LCID>
    <b:Author>
      <b:Author>
        <b:Corporate>NCLB</b:Corporate>
      </b:Author>
    </b:Author>
    <b:Title>No Child Left Behind Act of 2001</b:Title>
    <b:InternetSiteTitle>U.S. Dept. of Education</b:InternetSiteTitle>
    <b:Year>2002</b:Year>
    <b:Month>Jan</b:Month>
    <b:Day>8</b:Day>
    <b:YearAccessed>2009</b:YearAccessed>
    <b:MonthAccessed>July</b:MonthAccessed>
    <b:DayAccessed>13</b:DayAccessed>
    <b:URL>www.ed.gov/policy/elsec/leg/esea02/107-110.pdf</b:URL>
    <b:City>Washington, D.C.</b:City>
    <b:ShortTitle>NCLB Act</b:ShortTitle>
    <b:Publisher>107 U.S. Congress</b:Publisher>
    <b:Volume>20 USC 6301</b:Volume>
    <b:Pages>2</b:Pages>
    <b:RefOrder>34</b:RefOrder>
  </b:Source>
  <b:Source>
    <b:Tag>NSF06</b:Tag>
    <b:SourceType>Report</b:SourceType>
    <b:Guid>{DB6F3966-A4B2-426C-B57D-E978110B43C5}</b:Guid>
    <b:LCID>0</b:LCID>
    <b:Author>
      <b:Author>
        <b:Corporate>NSF National Science Board</b:Corporate>
      </b:Author>
    </b:Author>
    <b:Title>Science and Engineering Indicators 2006</b:Title>
    <b:Year>2006</b:Year>
    <b:Publisher>NSF National Science Board</b:Publisher>
    <b:Volume>1</b:Volume>
    <b:Pages>8</b:Pages>
    <b:RefOrder>35</b:RefOrder>
  </b:Source>
  <b:Source>
    <b:Tag>Rho08</b:Tag>
    <b:SourceType>Report</b:SourceType>
    <b:Guid>{0DBA6EE5-DF8D-45A7-B8F2-186B66402F86}</b:Guid>
    <b:LCID>0</b:LCID>
    <b:Author>
      <b:Author>
        <b:Corporate>Rhode Island Board of Regents</b:Corporate>
      </b:Author>
    </b:Author>
    <b:Title>K-12 LITERACY, RESTRUCTURING OF THE LEARNING ENVIRONMENT AT THE MIDDLE AND HIGH SCHOOL LEVELS, AND PROFICIENCY BASED GRADUATION REQUIREMENTS (PBGR) AT HIGH SCHOOLS</b:Title>
    <b:Year>2008</b:Year>
    <b:Publisher>Rhode Island Department of Education</b:Publisher>
    <b:City>Providence</b:City>
    <b:RefOrder>5</b:RefOrder>
  </b:Source>
  <b:Source>
    <b:Tag>Spi06</b:Tag>
    <b:SourceType>JournalArticle</b:SourceType>
    <b:Guid>{544D34F4-068F-4A5B-9A10-F169A10ADDEE}</b:Guid>
    <b:LCID>0</b:LCID>
    <b:Author>
      <b:Author>
        <b:NameList>
          <b:Person>
            <b:Last>Spielhagen</b:Last>
            <b:First>Frances</b:First>
            <b:Middle>R.</b:Middle>
          </b:Person>
        </b:NameList>
      </b:Author>
    </b:Author>
    <b:Title>Closing the Achievement Gap in Math: The Long-Term Effects of Eight-Grade Algebra</b:Title>
    <b:Year>2006</b:Year>
    <b:JournalName>Journal of Advanced Academics</b:JournalName>
    <b:Pages>34-59</b:Pages>
    <b:Volume>18</b:Volume>
    <b:Issue>1</b:Issue>
    <b:RefOrder>3</b:RefOrder>
  </b:Source>
  <b:Source>
    <b:Tag>Rho</b:Tag>
    <b:SourceType>DocumentFromInternetSite</b:SourceType>
    <b:Guid>{9C297EDB-6EA7-4919-B497-B03C6710B759}</b:Guid>
    <b:LCID>0</b:LCID>
    <b:Author>
      <b:Author>
        <b:Corporate>Rhode Island Department of Education</b:Corporate>
      </b:Author>
    </b:Author>
    <b:Title>New England Common Assessment Program</b:Title>
    <b:Year>2008</b:Year>
    <b:Publisher>RIDE</b:Publisher>
    <b:City>Providence</b:City>
    <b:InternetSiteTitle>RIDE</b:InternetSiteTitle>
    <b:Month>October</b:Month>
    <b:Day>1</b:Day>
    <b:YearAccessed>2009</b:YearAccessed>
    <b:MonthAccessed>July</b:MonthAccessed>
    <b:DayAccessed>10</b:DayAccessed>
    <b:URL>http://www.eride.ri.gov/reportcard/09/prof_reports/28/DisSuTest2800.pdf</b:URL>
    <b:ShortTitle>School Report Card</b:ShortTitle>
    <b:RefOrder>4</b:RefOrder>
  </b:Source>
  <b:Source>
    <b:Tag>Pro09</b:Tag>
    <b:SourceType>Report</b:SourceType>
    <b:Guid>{18630DBB-8F94-4C2D-87B0-4D12D722033F}</b:Guid>
    <b:LCID>0</b:LCID>
    <b:Author>
      <b:Author>
        <b:Corporate>Providence School District</b:Corporate>
      </b:Author>
    </b:Author>
    <b:Title>2009-2010 Proposed Budget</b:Title>
    <b:Year>2009</b:Year>
    <b:Month>July</b:Month>
    <b:Day>14</b:Day>
    <b:URL>www.providenceschools.org/dept/fin/files/CCEFCA656DC744FCACDA8DDC563728E4.pdf</b:URL>
    <b:Publisher>Providence School District</b:Publisher>
    <b:City>Providence</b:City>
    <b:RefOrder>1</b:RefOrder>
  </b:Source>
  <b:Source>
    <b:Tag>Nat</b:Tag>
    <b:SourceType>Report</b:SourceType>
    <b:Guid>{08DE5A01-73DE-4482-B4E0-055E4534A3C7}</b:Guid>
    <b:LCID>0</b:LCID>
    <b:Author>
      <b:Author>
        <b:Corporate>National Center for Educational Statistics</b:Corporate>
      </b:Author>
    </b:Author>
    <b:Title>Academic Pathways, Preparation, and Performance. A Descriptive Overview of the Transcripts from the High School Graduating Class of 2003-04</b:Title>
    <b:Year>2003</b:Year>
    <b:Publisher>U.S. Department of Education Center Institute for Educational Sciences</b:Publisher>
    <b:City>Washington</b:City>
    <b:RefOrder>2</b:RefOrder>
  </b:Source>
  <b:Source>
    <b:Tag>Rho07</b:Tag>
    <b:SourceType>DocumentFromInternetSite</b:SourceType>
    <b:Guid>{F243CB9F-21E6-450A-AE36-C44F15D19671}</b:Guid>
    <b:LCID>0</b:LCID>
    <b:Author>
      <b:Author>
        <b:Corporate>Rhode Island Department of Education</b:Corporate>
      </b:Author>
    </b:Author>
    <b:Title>Math GSEs</b:Title>
    <b:Year>2007</b:Year>
    <b:InternetSiteTitle>RIDE</b:InternetSiteTitle>
    <b:Month>Aug</b:Month>
    <b:Day>7</b:Day>
    <b:YearAccessed>2009</b:YearAccessed>
    <b:MonthAccessed>July</b:MonthAccessed>
    <b:DayAccessed>14</b:DayAccessed>
    <b:URL>www.ride.ri.gov/Instruction/gle.aspx#math</b:URL>
    <b:RefOrder>6</b:RefOrder>
  </b:Source>
  <b:Source>
    <b:Tag>Rut08</b:Tag>
    <b:SourceType>JournalArticle</b:SourceType>
    <b:Guid>{A37DC71A-D732-4B36-A315-FD873B4B278C}</b:Guid>
    <b:LCID>0</b:LCID>
    <b:Author>
      <b:Author>
        <b:NameList>
          <b:Person>
            <b:Last>Neild</b:Last>
            <b:First>Ruth</b:First>
            <b:Middle>Curran</b:Middle>
          </b:Person>
          <b:Person>
            <b:Last>Stoner-Eby</b:Last>
            <b:First>Scott</b:First>
          </b:Person>
          <b:Person>
            <b:Last>Furstenburg</b:Last>
            <b:First>Frank</b:First>
          </b:Person>
        </b:NameList>
      </b:Author>
    </b:Author>
    <b:Title>Connecting Entrance and Departure: The Transition to Ninth Grade and High School Drop Out</b:Title>
    <b:Year>2008</b:Year>
    <b:JournalName>Education and Urban Society</b:JournalName>
    <b:RefOrder>10</b:RefOrder>
  </b:Source>
  <b:Source>
    <b:Tag>Edu01</b:Tag>
    <b:SourceType>JournalArticle</b:SourceType>
    <b:Guid>{C5FCCB84-709D-436C-80C8-159702C19E86}</b:Guid>
    <b:LCID>0</b:LCID>
    <b:Author>
      <b:Author>
        <b:NameList>
          <b:Person>
            <b:Last>Eduards</b:Last>
            <b:First>Thoomas</b:First>
          </b:Person>
          <b:Person>
            <b:Last>Khan</b:Last>
            <b:First>Steven</b:First>
          </b:Person>
          <b:Person>
            <b:Last>Brenton</b:Last>
            <b:First>Lawrence</b:First>
          </b:Person>
        </b:NameList>
      </b:Author>
    </b:Author>
    <b:Title>Math Corps Summer Camp: An Inner City Intervention Program</b:Title>
    <b:JournalName>Journal of Education for Students Placed at Risk</b:JournalName>
    <b:Year>2001</b:Year>
    <b:RefOrder>11</b:RefOrder>
  </b:Source>
  <b:Source>
    <b:Tag>New05</b:Tag>
    <b:SourceType>DocumentFromInternetSite</b:SourceType>
    <b:Guid>{FBDF3240-DB46-40ED-957F-F1CD2A782B9C}</b:Guid>
    <b:LCID>0</b:LCID>
    <b:Author>
      <b:Author>
        <b:Corporate>RIDE-NECAP</b:Corporate>
      </b:Author>
    </b:Author>
    <b:Title>RIDE Office of Assessment and Accoutability New England Common Assessment Program (NECAP)</b:Title>
    <b:Year>2005</b:Year>
    <b:InternetSiteTitle>the Rhode Island Department of Education</b:InternetSiteTitle>
    <b:Month>5</b:Month>
    <b:Day>18</b:Day>
    <b:YearAccessed>2009</b:YearAccessed>
    <b:MonthAccessed>10</b:MonthAccessed>
    <b:DayAccessed>15</b:DayAccessed>
    <b:URL>http://www.ride.ri.gov/assessment/necap.aspx</b:URL>
    <b:RefOrder>18</b:RefOrder>
  </b:Source>
  <b:Source>
    <b:Tag>Ame09</b:Tag>
    <b:SourceType>DocumentFromInternetSite</b:SourceType>
    <b:Guid>{C1B669F2-8657-4DE6-915B-25318E2CC2D4}</b:Guid>
    <b:LCID>0</b:LCID>
    <b:Author>
      <b:Author>
        <b:Corporate>America's Choice</b:Corporate>
      </b:Author>
    </b:Author>
    <b:Title>Ramp-Up to Algebra: California’s Algebra Readiness Solution</b:Title>
    <b:InternetSiteTitle>NCEE</b:InternetSiteTitle>
    <b:Year>2009</b:Year>
    <b:Month>10</b:Month>
    <b:Day>14</b:Day>
    <b:YearAccessed>2009</b:YearAccessed>
    <b:MonthAccessed>10</b:MonthAccessed>
    <b:DayAccessed>14</b:DayAccessed>
    <b:URL>http://www.ncee.org/acsd/math/210a.jsp</b:URL>
    <b:RefOrder>17</b:RefOrder>
  </b:Source>
  <b:Source>
    <b:Tag>Sou09</b:Tag>
    <b:SourceType>ConferenceProceedings</b:SourceType>
    <b:Guid>{687A6201-89E3-4242-A295-2CB309FC16DA}</b:Guid>
    <b:LCID>0</b:LCID>
    <b:Author>
      <b:Author>
        <b:Corporate>Southern Regional Education Board</b:Corporate>
      </b:Author>
    </b:Author>
    <b:Title>Participant's Guide</b:Title>
    <b:Year>2009</b:Year>
    <b:ConferenceName>Building Instructional Leadership Teams That Make a Difference</b:ConferenceName>
    <b:City>Providence</b:City>
    <b:RefOrder>12</b:RefOrder>
  </b:Source>
  <b:Source>
    <b:Tag>Sou091</b:Tag>
    <b:SourceType>ConferenceProceedings</b:SourceType>
    <b:Guid>{CC5139F2-C776-4193-A9E5-D39D6E790DFE}</b:Guid>
    <b:LCID>0</b:LCID>
    <b:Author>
      <b:Author>
        <b:Corporate>Southern Regional Education Board</b:Corporate>
      </b:Author>
    </b:Author>
    <b:Title>Assessing Academic Rigor to Ensure Grade-Level Proficiency and College Readiness: Participants Guide</b:Title>
    <b:Year>2009</b:Year>
    <b:Publisher>The Wallace Foundation</b:Publisher>
    <b:ConferenceName>Assessing Academic Rigor and College Readiness</b:ConferenceName>
    <b:RefOrder>14</b:RefOrder>
  </b:Source>
  <b:Source>
    <b:Tag>DuF06</b:Tag>
    <b:SourceType>Book</b:SourceType>
    <b:Guid>{7BC33B30-6C2D-429E-8024-F5D5A7F3BE46}</b:Guid>
    <b:LCID>0</b:LCID>
    <b:Author>
      <b:Author>
        <b:NameList>
          <b:Person>
            <b:Last>DuFour</b:Last>
            <b:First>DuFour,</b:First>
            <b:Middle>Eaker &amp; Many</b:Middle>
          </b:Person>
        </b:NameList>
      </b:Author>
    </b:Author>
    <b:Title>Learning by Doing</b:Title>
    <b:Year>2006</b:Year>
    <b:City>Bloomington, IN</b:City>
    <b:Publisher>Solution Tree</b:Publisher>
    <b:RefOrder>23</b:RefOrder>
  </b:Source>
  <b:Source>
    <b:Tag>Gol00</b:Tag>
    <b:SourceType>Book</b:SourceType>
    <b:Guid>{BB6CA443-47A9-4402-9724-E4676DFEEEE2}</b:Guid>
    <b:LCID>0</b:LCID>
    <b:Author>
      <b:Author>
        <b:NameList>
          <b:Person>
            <b:Last>Golden</b:Last>
            <b:First>Nancy</b:First>
          </b:Person>
          <b:Person>
            <b:Last>Gall</b:Last>
            <b:First>Joyce</b:First>
            <b:Middle>P.</b:Middle>
          </b:Person>
        </b:NameList>
      </b:Author>
    </b:Author>
    <b:Title>The Complete Toolkit for Building High-Performance Work Teams</b:Title>
    <b:Year>2000</b:Year>
    <b:City>Oregon</b:City>
    <b:Publisher>ERIC Clearinghouse on Educational Management</b:Publisher>
    <b:RefOrder>26</b:RefOrder>
  </b:Source>
  <b:Source>
    <b:Tag>Mar08</b:Tag>
    <b:SourceType>ConferenceProceedings</b:SourceType>
    <b:Guid>{B08C6F02-B317-415B-952D-81CECC4FF424}</b:Guid>
    <b:LCID>0</b:LCID>
    <b:Author>
      <b:Author>
        <b:NameList>
          <b:Person>
            <b:Last>Martin-Kneip</b:Last>
          </b:Person>
        </b:NameList>
      </b:Author>
    </b:Author>
    <b:Title>Communities that learn, lead, and last</b:Title>
    <b:Year>2008</b:Year>
    <b:Publisher>Jossey-Bass</b:Publisher>
    <b:City>San Francisco</b:City>
    <b:ConferenceName>Southern Regional Education Board</b:ConferenceName>
    <b:RefOrder>36</b:RefOrder>
  </b:Source>
  <b:Source>
    <b:Tag>Rho04</b:Tag>
    <b:SourceType>DocumentFromInternetSite</b:SourceType>
    <b:Guid>{F996AF33-2ADE-43E0-9FDB-D09D0BBDA8F3}</b:Guid>
    <b:LCID>0</b:LCID>
    <b:Author>
      <b:Author>
        <b:Corporate>Rhode Island Department of Education</b:Corporate>
      </b:Author>
    </b:Author>
    <b:Title>Support and Intervention: RIDE</b:Title>
    <b:InternetSiteTitle>Rhode Island Department of Education Web site</b:InternetSiteTitle>
    <b:Year>2004</b:Year>
    <b:Month>February</b:Month>
    <b:Day>2</b:Day>
    <b:YearAccessed>2009</b:YearAccessed>
    <b:MonthAccessed>July</b:MonthAccessed>
    <b:DayAccessed>5</b:DayAccessed>
    <b:URL>www.ride.ri.gov/PSI/SupportIntervention/interventiondistricts</b:URL>
    <b:RefOrder>37</b:RefOrder>
  </b:Source>
  <b:Source>
    <b:Tag>Rho041</b:Tag>
    <b:SourceType>Report</b:SourceType>
    <b:Guid>{F16EA6B8-A1D3-4A4B-94AD-1796FC1ED83E}</b:Guid>
    <b:LCID>0</b:LCID>
    <b:Author>
      <b:Author>
        <b:Corporate>Rhode Island Department of Education</b:Corporate>
      </b:Author>
    </b:Author>
    <b:Title>Decision and Order of Reconstitution</b:Title>
    <b:Year>2004</b:Year>
    <b:Publisher>RIDE</b:Publisher>
    <b:City>Providence</b:City>
    <b:RefOrder>38</b:RefOrder>
  </b:Source>
  <b:Source>
    <b:Tag>Pro07</b:Tag>
    <b:SourceType>ConferenceProceedings</b:SourceType>
    <b:Guid>{2233355A-002D-44AD-8876-86FBD1475041}</b:Guid>
    <b:LCID>0</b:LCID>
    <b:Author>
      <b:Author>
        <b:Corporate>Providence School Board</b:Corporate>
      </b:Author>
    </b:Author>
    <b:Title>Seek Convene to Executive Session....</b:Title>
    <b:Year>2007</b:Year>
    <b:Publisher>Providence School District</b:Publisher>
    <b:City>Providence</b:City>
    <b:Pages>3 of 15</b:Pages>
    <b:ConferenceName>School Board Session</b:ConferenceName>
    <b:RefOrder>39</b:RefOrder>
  </b:Source>
  <b:Source>
    <b:Tag>Hop09</b:Tag>
    <b:SourceType>Report</b:SourceType>
    <b:Guid>{DFCB8790-FD07-4ADF-82D5-927935F2DFA1}</b:Guid>
    <b:LCID>0</b:LCID>
    <b:Author>
      <b:Author>
        <b:Corporate>Hope High School</b:Corporate>
      </b:Author>
    </b:Author>
    <b:Title>School Improvement Plan</b:Title>
    <b:Year>2009</b:Year>
    <b:Publisher>Hope High School</b:Publisher>
    <b:City>Providence</b:City>
    <b:RefOrder>40</b:RefOrder>
  </b:Source>
  <b:Source>
    <b:Tag>RID08</b:Tag>
    <b:SourceType>DocumentFromInternetSite</b:SourceType>
    <b:Guid>{8FCF2F28-837C-4C6D-A948-4F3B77847780}</b:Guid>
    <b:LCID>0</b:LCID>
    <b:Author>
      <b:Author>
        <b:Corporate>RIDE</b:Corporate>
      </b:Author>
    </b:Author>
    <b:Title>NECAP Assessment Results</b:Title>
    <b:Year>2008</b:Year>
    <b:InternetSiteTitle>ride.ri.gov</b:InternetSiteTitle>
    <b:URL>http://www.ride.ri.gov/Assessment/Results.aspx</b:URL>
    <b:RefOrder>21</b:RefOrder>
  </b:Source>
  <b:Source>
    <b:Tag>RIS09</b:Tag>
    <b:SourceType>InternetSite</b:SourceType>
    <b:Guid>{6540481A-12AA-4BD2-BB12-84DBDF1BBD9C}</b:Guid>
    <b:LCID>0</b:LCID>
    <b:Author>
      <b:Author>
        <b:Corporate>RISD</b:Corporate>
      </b:Author>
    </b:Author>
    <b:Title>Faculty Projects:  Dr. Sproll</b:Title>
    <b:InternetSiteTitle>Rhode Island School of Design</b:InternetSiteTitle>
    <b:YearAccessed>2009</b:YearAccessed>
    <b:URL>http://www.risd.edu/faculty_projects_sproll.htm</b:URL>
    <b:RefOrder>41</b:RefOrder>
  </b:Source>
  <b:Source>
    <b:Tag>Goo09</b:Tag>
    <b:SourceType>DocumentFromInternetSite</b:SourceType>
    <b:Guid>{5081A588-1269-4D6F-B13F-9088664FF3D8}</b:Guid>
    <b:LCID>0</b:LCID>
    <b:Author>
      <b:Author>
        <b:Corporate>Google, Inc.</b:Corporate>
      </b:Author>
    </b:Author>
    <b:Title>Google Docs Beta</b:Title>
    <b:InternetSiteTitle>Google</b:InternetSiteTitle>
    <b:YearAccessed>09</b:YearAccessed>
    <b:MonthAccessed>10</b:MonthAccessed>
    <b:DayAccessed>14</b:DayAccessed>
    <b:URL>www.google.com</b:URL>
    <b:RefOrder>24</b:RefOrder>
  </b:Source>
  <b:Source>
    <b:Tag>Com09</b:Tag>
    <b:SourceType>DocumentFromInternetSite</b:SourceType>
    <b:Guid>{E331E997-1B06-4EBB-AD97-C60DFF9ED3D7}</b:Guid>
    <b:LCID>0</b:LCID>
    <b:Title>Common Core State Mathematics Standards for College and Work</b:Title>
    <b:InternetSiteTitle>Corestandards.net</b:InternetSiteTitle>
    <b:Year>09</b:Year>
    <b:Month>07</b:Month>
    <b:YearAccessed>2009</b:YearAccessed>
    <b:MonthAccessed>10</b:MonthAccessed>
    <b:DayAccessed>16</b:DayAccessed>
    <b:URL>http://www.corestandards.net/Math/MathExamples.pdf</b:URL>
    <b:RefOrder>13</b:RefOrder>
  </b:Source>
  <b:Source>
    <b:Tag>Har06</b:Tag>
    <b:SourceType>DocumentFromInternetSite</b:SourceType>
    <b:Guid>{84EC4B59-5943-4771-A457-E69C4E508105}</b:Guid>
    <b:LCID>0</b:LCID>
    <b:Author>
      <b:Author>
        <b:Corporate>Harmony Educatioin Center</b:Corporate>
      </b:Author>
    </b:Author>
    <b:Title>The Tuning Protocol: Tuning a Plan</b:Title>
    <b:InternetSiteTitle>Harmoy Education Center - National School Reform Faculty</b:InternetSiteTitle>
    <b:Year>06</b:Year>
    <b:Month>09</b:Month>
    <b:Day>13</b:Day>
    <b:YearAccessed>09</b:YearAccessed>
    <b:MonthAccessed>10</b:MonthAccessed>
    <b:DayAccessed>16</b:DayAccessed>
    <b:URL>http://www.nsrfharmony.org/protocol/doc/tuning_plan.pdf</b:URL>
    <b:RefOrder>16</b:RefOrder>
  </b:Source>
  <b:Source>
    <b:Tag>Nan00</b:Tag>
    <b:SourceType>Book</b:SourceType>
    <b:Guid>{530D86F6-841D-45CE-B351-A4D9DF496421}</b:Guid>
    <b:LCID>0</b:LCID>
    <b:Author>
      <b:Author>
        <b:Corporate>Nancy Golden; Joyce P. Gall</b:Corporate>
      </b:Author>
    </b:Author>
    <b:Title>The Complete Toolkit for Building High-Performance Work Teams</b:Title>
    <b:Year>2000</b:Year>
    <b:City>Eugene, OR</b:City>
    <b:Publisher>ERIC Clearinghouse on Educational Management</b:Publisher>
    <b:RefOrder>25</b:RefOrder>
  </b:Source>
  <b:Source>
    <b:Tag>Web06</b:Tag>
    <b:SourceType>DocumentFromInternetSite</b:SourceType>
    <b:Guid>{CB6BA20A-FA54-43C9-B50F-6ED074E4FC30}</b:Guid>
    <b:LCID>0</b:LCID>
    <b:Author>
      <b:Author>
        <b:NameList>
          <b:Person>
            <b:Last>Webb</b:Last>
            <b:First>Norman</b:First>
            <b:Middle>L.</b:Middle>
          </b:Person>
        </b:NameList>
      </b:Author>
    </b:Author>
    <b:Title>WAT Web Alignment Tool</b:Title>
    <b:InternetSiteTitle>Wisconsin Center of Educational Research. University of Wisconsin-Madison</b:InternetSiteTitle>
    <b:Year>06</b:Year>
    <b:Month>02</b:Month>
    <b:Day>02</b:Day>
    <b:YearAccessed>09</b:YearAccessed>
    <b:MonthAccessed>10</b:MonthAccessed>
    <b:DayAccessed>16</b:DayAccessed>
    <b:URL>http://www.wcer.wisc.edu/WAT/index.aspx</b:URL>
    <b:RefOrder>15</b:RefOrder>
  </b:Source>
  <b:Source>
    <b:Tag>Lew47</b:Tag>
    <b:SourceType>JournalArticle</b:SourceType>
    <b:Guid>{A40D83A7-220E-4172-9946-58E68B7BDC29}</b:Guid>
    <b:LCID>0</b:LCID>
    <b:Author>
      <b:Author>
        <b:NameList>
          <b:Person>
            <b:Last>Lewin</b:Last>
            <b:First>Kurt</b:First>
          </b:Person>
        </b:NameList>
      </b:Author>
    </b:Author>
    <b:Title>Frontiers in Group Dynamics: Concept, Method and Reality in Social Science; Social Equilibria and Social Change</b:Title>
    <b:Year>1947</b:Year>
    <b:JournalName>Human Relations</b:JournalName>
    <b:Pages>11</b:Pages>
    <b:Publisher>Sage</b:Publisher>
    <b:Volume>1</b:Volume>
    <b:Issue>5</b:Issue>
    <b:RefOrder>22</b:RefOrder>
  </b:Source>
  <b:Source>
    <b:Tag>And01</b:Tag>
    <b:SourceType>Book</b:SourceType>
    <b:Guid>{46713BE4-8D36-4D01-A9A8-C76AF3122BA2}</b:Guid>
    <b:LCID>0</b:LCID>
    <b:Author>
      <b:Author>
        <b:Corporate>Anderson, Krathwohl... [et al.]</b:Corporate>
      </b:Author>
    </b:Author>
    <b:Title>A Taxonomy for Learning, Teaching, and Assessing: A Revision of Bloom's Taxonomy of Educational Objectives</b:Title>
    <b:Year>2001</b:Year>
    <b:City>New York</b:City>
    <b:Publisher>Addison Wesley Longman, Inc.</b:Publisher>
    <b:RefOrder>19</b:RefOrder>
  </b:Source>
  <b:Source>
    <b:Tag>Pro08</b:Tag>
    <b:SourceType>Report</b:SourceType>
    <b:Guid>{562293FD-3545-441B-B6B8-864062BE1A88}</b:Guid>
    <b:LCID>0</b:LCID>
    <b:Author>
      <b:Author>
        <b:Corporate>Providence Public School District</b:Corporate>
      </b:Author>
    </b:Author>
    <b:Title>Curriculum Development Initiative</b:Title>
    <b:Year>2008</b:Year>
    <b:City>Providence</b:City>
    <b:Publisher>PPSD</b:Publisher>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527A1A-9D46-4FEF-9EFB-6183B65E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2542</Words>
  <Characters>13985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Pre-algebra Mastery</vt:lpstr>
    </vt:vector>
  </TitlesOfParts>
  <Company>Hewlett-Packard</Company>
  <LinksUpToDate>false</LinksUpToDate>
  <CharactersWithSpaces>16495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Pre-algebra Mastery</dc:title>
  <dc:subject>Mobilizing a Professional Learning Community to Close the Gap</dc:subject>
  <dc:creator>Anthony Francisco</dc:creator>
  <cp:lastModifiedBy>Francisco</cp:lastModifiedBy>
  <cp:revision>10</cp:revision>
  <cp:lastPrinted>2009-10-21T17:40:00Z</cp:lastPrinted>
  <dcterms:created xsi:type="dcterms:W3CDTF">2009-10-25T02:57:00Z</dcterms:created>
  <dcterms:modified xsi:type="dcterms:W3CDTF">2009-10-25T03:22:00Z</dcterms:modified>
</cp:coreProperties>
</file>